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CB" w:rsidRPr="005C12A1" w:rsidRDefault="008C13DD">
      <w:r>
        <w:rPr>
          <w:noProof/>
        </w:rPr>
        <w:drawing>
          <wp:anchor distT="0" distB="0" distL="114300" distR="114300" simplePos="0" relativeHeight="251659264" behindDoc="1" locked="0" layoutInCell="1" allowOverlap="1" wp14:anchorId="4697AD4D" wp14:editId="43E04A86">
            <wp:simplePos x="0" y="0"/>
            <wp:positionH relativeFrom="column">
              <wp:posOffset>3171825</wp:posOffset>
            </wp:positionH>
            <wp:positionV relativeFrom="paragraph">
              <wp:posOffset>161925</wp:posOffset>
            </wp:positionV>
            <wp:extent cx="2469515" cy="1579880"/>
            <wp:effectExtent l="0" t="0" r="6985" b="1270"/>
            <wp:wrapTight wrapText="bothSides">
              <wp:wrapPolygon edited="0">
                <wp:start x="0" y="0"/>
                <wp:lineTo x="0" y="21357"/>
                <wp:lineTo x="21494" y="21357"/>
                <wp:lineTo x="21494" y="0"/>
                <wp:lineTo x="0" y="0"/>
              </wp:wrapPolygon>
            </wp:wrapTight>
            <wp:docPr id="3" name="Picture 3" descr="C:\Users\u45258\Desktop\ics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5258\Desktop\icsm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CB" w:rsidRPr="005C12A1" w:rsidRDefault="00A339CB"/>
    <w:p w:rsidR="00A339CB" w:rsidRPr="005C12A1" w:rsidRDefault="00A339CB"/>
    <w:p w:rsidR="00A339CB" w:rsidRPr="005C12A1" w:rsidRDefault="00A339CB"/>
    <w:p w:rsidR="00A339CB" w:rsidRPr="005C12A1" w:rsidRDefault="00A339CB"/>
    <w:p w:rsidR="00A339CB" w:rsidRPr="005C12A1" w:rsidRDefault="00A339CB"/>
    <w:p w:rsidR="00A339CB" w:rsidRPr="005C12A1" w:rsidRDefault="00A339CB"/>
    <w:p w:rsidR="00A339CB" w:rsidRPr="005C12A1" w:rsidRDefault="00A339CB"/>
    <w:p w:rsidR="00A339CB" w:rsidRPr="005C12A1" w:rsidRDefault="00A339CB"/>
    <w:p w:rsidR="00A339CB" w:rsidRPr="005C12A1" w:rsidRDefault="00A339CB"/>
    <w:p w:rsidR="00F51B61" w:rsidRPr="005C12A1" w:rsidRDefault="00F51B61"/>
    <w:p w:rsidR="00F51B61" w:rsidRPr="005C12A1" w:rsidRDefault="00F51B61"/>
    <w:p w:rsidR="00F51B61" w:rsidRPr="005C12A1" w:rsidRDefault="00F51B61"/>
    <w:p w:rsidR="00F51B61" w:rsidRPr="002E27C7" w:rsidRDefault="00F51B61">
      <w:pPr>
        <w:rPr>
          <w:color w:val="4F6228" w:themeColor="accent3" w:themeShade="80"/>
        </w:rPr>
      </w:pPr>
    </w:p>
    <w:p w:rsidR="00573A6E" w:rsidRPr="002E27C7" w:rsidRDefault="00711497" w:rsidP="009D75BB">
      <w:pPr>
        <w:pStyle w:val="TitleFrontPage"/>
        <w:rPr>
          <w:color w:val="4F6228" w:themeColor="accent3" w:themeShade="80"/>
        </w:rPr>
      </w:pPr>
      <w:r w:rsidRPr="002E27C7">
        <w:rPr>
          <w:color w:val="4F6228" w:themeColor="accent3" w:themeShade="80"/>
        </w:rPr>
        <w:t>Guideline for Control</w:t>
      </w:r>
      <w:r w:rsidR="008F5C8D" w:rsidRPr="002E27C7">
        <w:rPr>
          <w:color w:val="4F6228" w:themeColor="accent3" w:themeShade="80"/>
        </w:rPr>
        <w:t xml:space="preserve"> Surveys by </w:t>
      </w:r>
      <w:r w:rsidR="00B55A82" w:rsidRPr="002E27C7">
        <w:rPr>
          <w:color w:val="4F6228" w:themeColor="accent3" w:themeShade="80"/>
        </w:rPr>
        <w:t>Differential Levelling</w:t>
      </w:r>
    </w:p>
    <w:p w:rsidR="00A339CB" w:rsidRPr="002E27C7" w:rsidRDefault="00A339CB" w:rsidP="009D75BB">
      <w:pPr>
        <w:pStyle w:val="TitleFrontPage"/>
        <w:rPr>
          <w:color w:val="4F6228" w:themeColor="accent3" w:themeShade="80"/>
        </w:rPr>
      </w:pPr>
      <w:r w:rsidRPr="002E27C7">
        <w:rPr>
          <w:color w:val="4F6228" w:themeColor="accent3" w:themeShade="80"/>
        </w:rPr>
        <w:t>Special Publication 1</w:t>
      </w:r>
    </w:p>
    <w:p w:rsidR="00A339CB" w:rsidRPr="005C12A1" w:rsidRDefault="00A339CB" w:rsidP="00A339CB">
      <w:pPr>
        <w:pStyle w:val="TitleVersion"/>
      </w:pPr>
    </w:p>
    <w:p w:rsidR="002C3577" w:rsidRPr="005C12A1" w:rsidRDefault="002C3577" w:rsidP="00A339CB">
      <w:pPr>
        <w:pStyle w:val="TitleVersion"/>
      </w:pPr>
    </w:p>
    <w:p w:rsidR="002C3577" w:rsidRPr="005C12A1" w:rsidRDefault="002C3577" w:rsidP="00A339CB">
      <w:pPr>
        <w:pStyle w:val="TitleVersion"/>
      </w:pPr>
    </w:p>
    <w:p w:rsidR="00A339CB" w:rsidRPr="005C12A1" w:rsidRDefault="00882D6D" w:rsidP="00A339CB">
      <w:pPr>
        <w:pStyle w:val="TitleVersion"/>
      </w:pPr>
      <w:r>
        <w:fldChar w:fldCharType="begin"/>
      </w:r>
      <w:r>
        <w:instrText xml:space="preserve"> DOCPROPERTY "version" \* MERGEFORMAT </w:instrText>
      </w:r>
      <w:r>
        <w:fldChar w:fldCharType="separate"/>
      </w:r>
      <w:r w:rsidR="00A7714C">
        <w:t>Version 2.1</w:t>
      </w:r>
      <w:r>
        <w:fldChar w:fldCharType="end"/>
      </w:r>
    </w:p>
    <w:p w:rsidR="00A339CB" w:rsidRPr="005C12A1" w:rsidRDefault="00A339CB" w:rsidP="00A339CB"/>
    <w:p w:rsidR="00A339CB" w:rsidRPr="005C12A1" w:rsidRDefault="00882D6D" w:rsidP="00A339CB">
      <w:pPr>
        <w:pStyle w:val="TitleVersion"/>
      </w:pPr>
      <w:r>
        <w:fldChar w:fldCharType="begin"/>
      </w:r>
      <w:r>
        <w:instrText xml:space="preserve"> DOCPROPERTY  icsm \* MERGEFORMAT </w:instrText>
      </w:r>
      <w:r>
        <w:fldChar w:fldCharType="separate"/>
      </w:r>
      <w:r w:rsidR="00700A83">
        <w:t>Intergovernmental Committee on Surveying and Mapping</w:t>
      </w:r>
      <w:r>
        <w:fldChar w:fldCharType="end"/>
      </w:r>
      <w:r w:rsidR="00A339CB" w:rsidRPr="005C12A1">
        <w:t xml:space="preserve"> (ICSM)</w:t>
      </w:r>
    </w:p>
    <w:p w:rsidR="00A339CB" w:rsidRPr="005C12A1" w:rsidRDefault="00A30C8B" w:rsidP="00A339CB">
      <w:pPr>
        <w:pStyle w:val="TitleVersion"/>
      </w:pPr>
      <w:r w:rsidRPr="005C12A1">
        <w:t>Permanent Committee on Geodesy</w:t>
      </w:r>
      <w:r w:rsidR="00A339CB" w:rsidRPr="005C12A1">
        <w:t xml:space="preserve"> (</w:t>
      </w:r>
      <w:r w:rsidRPr="005C12A1">
        <w:t>PCG</w:t>
      </w:r>
      <w:r w:rsidR="00A339CB" w:rsidRPr="005C12A1">
        <w:t>)</w:t>
      </w:r>
    </w:p>
    <w:p w:rsidR="00A339CB" w:rsidRPr="005C12A1" w:rsidRDefault="00452359" w:rsidP="00A339CB">
      <w:pPr>
        <w:pStyle w:val="TitleVersion"/>
      </w:pPr>
      <w:r>
        <w:t>24 September 2014</w:t>
      </w:r>
    </w:p>
    <w:p w:rsidR="00714FD7" w:rsidRPr="005C12A1" w:rsidRDefault="00714FD7" w:rsidP="00A339CB">
      <w:pPr>
        <w:pStyle w:val="TitleVersion"/>
      </w:pPr>
    </w:p>
    <w:p w:rsidR="00B76596" w:rsidRDefault="009841A6" w:rsidP="00B76596">
      <w:pPr>
        <w:pStyle w:val="Heading1Nonumbers"/>
        <w:rPr>
          <w:color w:val="4F6228" w:themeColor="accent3" w:themeShade="80"/>
        </w:rPr>
      </w:pPr>
      <w:bookmarkStart w:id="0" w:name="_Toc399488972"/>
      <w:bookmarkStart w:id="1" w:name="_Toc301525764"/>
      <w:bookmarkStart w:id="2" w:name="_Toc303175626"/>
      <w:bookmarkStart w:id="3" w:name="_Toc304550596"/>
      <w:bookmarkStart w:id="4" w:name="_Toc315785383"/>
      <w:r>
        <w:rPr>
          <w:color w:val="4F6228" w:themeColor="accent3" w:themeShade="80"/>
        </w:rPr>
        <w:lastRenderedPageBreak/>
        <w:t>Document History</w:t>
      </w:r>
      <w:bookmarkEnd w:id="0"/>
    </w:p>
    <w:tbl>
      <w:tblPr>
        <w:tblStyle w:val="TableContemporary"/>
        <w:tblW w:w="0" w:type="auto"/>
        <w:tblLook w:val="04A0" w:firstRow="1" w:lastRow="0" w:firstColumn="1" w:lastColumn="0" w:noHBand="0" w:noVBand="1"/>
      </w:tblPr>
      <w:tblGrid>
        <w:gridCol w:w="1327"/>
        <w:gridCol w:w="703"/>
        <w:gridCol w:w="758"/>
        <w:gridCol w:w="3132"/>
        <w:gridCol w:w="2846"/>
      </w:tblGrid>
      <w:tr w:rsidR="00B76596" w:rsidRPr="00D509A8" w:rsidTr="00087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left"/>
            </w:pPr>
            <w:r w:rsidRPr="00D509A8">
              <w:t>DATE</w:t>
            </w:r>
          </w:p>
        </w:tc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center"/>
            </w:pPr>
            <w:r w:rsidRPr="00D509A8">
              <w:t>VERS</w:t>
            </w:r>
          </w:p>
        </w:tc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center"/>
            </w:pPr>
            <w:r w:rsidRPr="00D509A8">
              <w:t>ISSUE</w:t>
            </w:r>
          </w:p>
        </w:tc>
        <w:tc>
          <w:tcPr>
            <w:tcW w:w="3132" w:type="dxa"/>
          </w:tcPr>
          <w:p w:rsidR="00B76596" w:rsidRPr="00D509A8" w:rsidRDefault="00B76596" w:rsidP="00087112">
            <w:pPr>
              <w:spacing w:before="0" w:after="0"/>
              <w:jc w:val="left"/>
            </w:pPr>
            <w:r w:rsidRPr="00D509A8">
              <w:t>AMENDMENTS</w:t>
            </w:r>
          </w:p>
        </w:tc>
        <w:tc>
          <w:tcPr>
            <w:tcW w:w="2846" w:type="dxa"/>
          </w:tcPr>
          <w:p w:rsidR="00B76596" w:rsidRPr="00D509A8" w:rsidRDefault="00B76596" w:rsidP="00087112">
            <w:pPr>
              <w:spacing w:before="0" w:after="0"/>
              <w:jc w:val="left"/>
            </w:pPr>
            <w:r w:rsidRPr="00D509A8">
              <w:t>AUTHOR(S)</w:t>
            </w:r>
          </w:p>
        </w:tc>
      </w:tr>
      <w:tr w:rsidR="00B76596" w:rsidRPr="00D509A8" w:rsidTr="00087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left"/>
            </w:pPr>
            <w:r w:rsidRPr="00D509A8">
              <w:t>24/10/2013</w:t>
            </w:r>
          </w:p>
        </w:tc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center"/>
            </w:pPr>
            <w:r w:rsidRPr="00D509A8">
              <w:t>2</w:t>
            </w:r>
          </w:p>
        </w:tc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center"/>
            </w:pPr>
            <w:r w:rsidRPr="00D509A8">
              <w:t>0</w:t>
            </w:r>
          </w:p>
        </w:tc>
        <w:tc>
          <w:tcPr>
            <w:tcW w:w="3132" w:type="dxa"/>
          </w:tcPr>
          <w:p w:rsidR="00B76596" w:rsidRPr="00D509A8" w:rsidRDefault="00B76596" w:rsidP="00087112">
            <w:pPr>
              <w:spacing w:before="0" w:after="0"/>
              <w:jc w:val="left"/>
            </w:pPr>
            <w:r w:rsidRPr="00D509A8">
              <w:t>Document available</w:t>
            </w:r>
          </w:p>
        </w:tc>
        <w:tc>
          <w:tcPr>
            <w:tcW w:w="2846" w:type="dxa"/>
          </w:tcPr>
          <w:p w:rsidR="00B76596" w:rsidRPr="00D509A8" w:rsidRDefault="00B76596" w:rsidP="00087112">
            <w:pPr>
              <w:spacing w:before="0" w:after="0"/>
              <w:jc w:val="left"/>
            </w:pPr>
            <w:r w:rsidRPr="00D509A8">
              <w:t>ICSM Permanent Committee on Geodesy</w:t>
            </w:r>
          </w:p>
        </w:tc>
      </w:tr>
      <w:tr w:rsidR="00B76596" w:rsidRPr="00D509A8" w:rsidTr="000871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B76596" w:rsidRPr="00D509A8" w:rsidRDefault="00A7714C" w:rsidP="00087112">
            <w:pPr>
              <w:spacing w:before="0" w:after="0"/>
              <w:jc w:val="left"/>
            </w:pPr>
            <w:r>
              <w:t>24/09/2014</w:t>
            </w:r>
          </w:p>
        </w:tc>
        <w:tc>
          <w:tcPr>
            <w:tcW w:w="0" w:type="auto"/>
          </w:tcPr>
          <w:p w:rsidR="00B76596" w:rsidRPr="00D509A8" w:rsidRDefault="00A7714C" w:rsidP="00087112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76596" w:rsidRPr="00D509A8" w:rsidRDefault="00A7714C" w:rsidP="00087112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3132" w:type="dxa"/>
          </w:tcPr>
          <w:p w:rsidR="00B76596" w:rsidRPr="00D509A8" w:rsidRDefault="00A7714C" w:rsidP="00087112">
            <w:pPr>
              <w:spacing w:before="0" w:after="0"/>
              <w:jc w:val="left"/>
            </w:pPr>
            <w:r>
              <w:t>Copyright update</w:t>
            </w:r>
          </w:p>
        </w:tc>
        <w:tc>
          <w:tcPr>
            <w:tcW w:w="2846" w:type="dxa"/>
          </w:tcPr>
          <w:p w:rsidR="00B76596" w:rsidRPr="00D509A8" w:rsidRDefault="00A7714C" w:rsidP="00087112">
            <w:pPr>
              <w:spacing w:before="0" w:after="0"/>
              <w:jc w:val="left"/>
            </w:pPr>
            <w:r w:rsidRPr="00D509A8">
              <w:t>ICSM Permanent Committee on Geodesy</w:t>
            </w:r>
          </w:p>
        </w:tc>
      </w:tr>
      <w:tr w:rsidR="00B76596" w:rsidRPr="00D509A8" w:rsidTr="00087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left"/>
            </w:pPr>
          </w:p>
        </w:tc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center"/>
            </w:pPr>
          </w:p>
        </w:tc>
        <w:tc>
          <w:tcPr>
            <w:tcW w:w="0" w:type="auto"/>
          </w:tcPr>
          <w:p w:rsidR="00B76596" w:rsidRPr="00D509A8" w:rsidRDefault="00B76596" w:rsidP="00087112">
            <w:pPr>
              <w:spacing w:before="0" w:after="0"/>
              <w:jc w:val="center"/>
            </w:pPr>
          </w:p>
        </w:tc>
        <w:tc>
          <w:tcPr>
            <w:tcW w:w="3132" w:type="dxa"/>
          </w:tcPr>
          <w:p w:rsidR="00B76596" w:rsidRPr="00D509A8" w:rsidRDefault="00B76596" w:rsidP="00087112">
            <w:pPr>
              <w:spacing w:before="0" w:after="0"/>
              <w:jc w:val="left"/>
            </w:pPr>
          </w:p>
        </w:tc>
        <w:tc>
          <w:tcPr>
            <w:tcW w:w="2846" w:type="dxa"/>
          </w:tcPr>
          <w:p w:rsidR="00B76596" w:rsidRPr="00D509A8" w:rsidRDefault="00B76596" w:rsidP="00087112">
            <w:pPr>
              <w:spacing w:before="0" w:after="0"/>
              <w:jc w:val="left"/>
            </w:pPr>
          </w:p>
        </w:tc>
      </w:tr>
    </w:tbl>
    <w:p w:rsidR="00B76596" w:rsidRDefault="00B76596" w:rsidP="009841A6"/>
    <w:p w:rsidR="00452359" w:rsidRDefault="00452359" w:rsidP="00452359">
      <w:pPr>
        <w:autoSpaceDE w:val="0"/>
        <w:autoSpaceDN w:val="0"/>
        <w:ind w:left="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CC2D78B" wp14:editId="09D3E24A">
            <wp:extent cx="758825" cy="267335"/>
            <wp:effectExtent l="0" t="0" r="3175" b="0"/>
            <wp:docPr id="4" name="Picture 4" descr="cid:image003.jpg@01CFCD16.091A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CD16.091A3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59" w:rsidRPr="00C01089" w:rsidRDefault="00452359" w:rsidP="00452359">
      <w:pPr>
        <w:autoSpaceDE w:val="0"/>
        <w:autoSpaceDN w:val="0"/>
        <w:spacing w:before="93"/>
        <w:ind w:left="110"/>
        <w:rPr>
          <w:rFonts w:asciiTheme="minorHAnsi" w:hAnsiTheme="minorHAnsi" w:cs="Arial"/>
          <w:color w:val="000000"/>
          <w:szCs w:val="23"/>
        </w:rPr>
      </w:pPr>
      <w:r w:rsidRPr="00C01089">
        <w:rPr>
          <w:rFonts w:asciiTheme="minorHAnsi" w:hAnsiTheme="minorHAnsi" w:cs="Arial"/>
          <w:color w:val="231F20"/>
          <w:szCs w:val="23"/>
        </w:rPr>
        <w:t>©</w:t>
      </w:r>
      <w:r w:rsidRPr="00C01089">
        <w:rPr>
          <w:rFonts w:asciiTheme="minorHAnsi" w:hAnsiTheme="minorHAnsi" w:cs="Arial"/>
          <w:color w:val="231F20"/>
          <w:spacing w:val="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ommo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nw</w:t>
      </w:r>
      <w:r w:rsidRPr="00C01089">
        <w:rPr>
          <w:rFonts w:asciiTheme="minorHAnsi" w:hAnsiTheme="minorHAnsi" w:cs="Arial"/>
          <w:color w:val="231F20"/>
          <w:szCs w:val="23"/>
        </w:rPr>
        <w:t>eal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</w:t>
      </w:r>
      <w:r w:rsidRPr="00C01089">
        <w:rPr>
          <w:rFonts w:asciiTheme="minorHAnsi" w:hAnsiTheme="minorHAnsi" w:cs="Arial"/>
          <w:color w:val="231F20"/>
          <w:spacing w:val="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of</w:t>
      </w:r>
      <w:r w:rsidRPr="00C01089">
        <w:rPr>
          <w:rFonts w:asciiTheme="minorHAnsi" w:hAnsiTheme="minorHAnsi" w:cs="Arial"/>
          <w:color w:val="231F20"/>
          <w:spacing w:val="-9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A</w:t>
      </w:r>
      <w:r w:rsidRPr="00C01089">
        <w:rPr>
          <w:rFonts w:asciiTheme="minorHAnsi" w:hAnsiTheme="minorHAnsi" w:cs="Arial"/>
          <w:color w:val="231F20"/>
          <w:szCs w:val="23"/>
        </w:rPr>
        <w:t>u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s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ralia</w:t>
      </w:r>
      <w:r w:rsidRPr="00C01089">
        <w:rPr>
          <w:rFonts w:asciiTheme="minorHAnsi" w:hAnsiTheme="minorHAnsi" w:cs="Arial"/>
          <w:color w:val="231F20"/>
          <w:spacing w:val="1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4"/>
          <w:szCs w:val="23"/>
        </w:rPr>
        <w:t>(</w:t>
      </w:r>
      <w:r w:rsidRPr="00C01089">
        <w:rPr>
          <w:rFonts w:asciiTheme="minorHAnsi" w:hAnsiTheme="minorHAnsi" w:cs="Arial"/>
          <w:color w:val="231F20"/>
          <w:szCs w:val="23"/>
        </w:rPr>
        <w:t>I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S</w:t>
      </w:r>
      <w:r w:rsidRPr="00C01089">
        <w:rPr>
          <w:rFonts w:asciiTheme="minorHAnsi" w:hAnsiTheme="minorHAnsi" w:cs="Arial"/>
          <w:color w:val="231F20"/>
          <w:spacing w:val="4"/>
          <w:szCs w:val="23"/>
        </w:rPr>
        <w:t>M</w:t>
      </w:r>
      <w:r w:rsidRPr="00C01089">
        <w:rPr>
          <w:rFonts w:asciiTheme="minorHAnsi" w:hAnsiTheme="minorHAnsi" w:cs="Arial"/>
          <w:color w:val="231F20"/>
          <w:szCs w:val="23"/>
        </w:rPr>
        <w:t>)</w:t>
      </w:r>
      <w:r w:rsidRPr="00C01089">
        <w:rPr>
          <w:rFonts w:asciiTheme="minorHAnsi" w:hAnsiTheme="minorHAnsi" w:cs="Arial"/>
          <w:color w:val="231F20"/>
          <w:spacing w:val="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201</w:t>
      </w:r>
      <w:r>
        <w:rPr>
          <w:rFonts w:asciiTheme="minorHAnsi" w:hAnsiTheme="minorHAnsi" w:cs="Arial"/>
          <w:color w:val="231F20"/>
          <w:szCs w:val="23"/>
        </w:rPr>
        <w:t>4</w:t>
      </w:r>
    </w:p>
    <w:p w:rsidR="00452359" w:rsidRPr="00C01089" w:rsidRDefault="00452359" w:rsidP="00452359">
      <w:pPr>
        <w:autoSpaceDE w:val="0"/>
        <w:autoSpaceDN w:val="0"/>
        <w:ind w:left="110"/>
        <w:jc w:val="left"/>
        <w:rPr>
          <w:rFonts w:asciiTheme="minorHAnsi" w:hAnsiTheme="minorHAnsi" w:cs="Arial"/>
          <w:color w:val="231F20"/>
          <w:szCs w:val="23"/>
        </w:rPr>
      </w:pPr>
      <w:r w:rsidRPr="00C01089">
        <w:rPr>
          <w:rFonts w:asciiTheme="minorHAnsi" w:hAnsiTheme="minorHAnsi" w:cs="Arial"/>
          <w:color w:val="231F20"/>
          <w:szCs w:val="23"/>
        </w:rPr>
        <w:t>Wi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</w:t>
      </w:r>
      <w:r w:rsidRPr="00C01089">
        <w:rPr>
          <w:rFonts w:asciiTheme="minorHAnsi" w:hAnsiTheme="minorHAnsi" w:cs="Arial"/>
          <w:color w:val="231F20"/>
          <w:spacing w:val="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he</w:t>
      </w:r>
      <w:r w:rsidRPr="00C01089">
        <w:rPr>
          <w:rFonts w:asciiTheme="minorHAnsi" w:hAnsiTheme="minorHAnsi" w:cs="Arial"/>
          <w:color w:val="231F20"/>
          <w:spacing w:val="-1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3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-4"/>
          <w:szCs w:val="23"/>
        </w:rPr>
        <w:t>x</w:t>
      </w:r>
      <w:r w:rsidRPr="00C01089">
        <w:rPr>
          <w:rFonts w:asciiTheme="minorHAnsi" w:hAnsiTheme="minorHAnsi" w:cs="Arial"/>
          <w:color w:val="231F20"/>
          <w:szCs w:val="23"/>
        </w:rPr>
        <w:t>cep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ion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of</w:t>
      </w:r>
      <w:r w:rsidRPr="00C01089">
        <w:rPr>
          <w:rFonts w:asciiTheme="minorHAnsi" w:hAnsiTheme="minorHAnsi" w:cs="Arial"/>
          <w:color w:val="231F20"/>
          <w:spacing w:val="-9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he</w:t>
      </w:r>
      <w:r w:rsidRPr="00C01089">
        <w:rPr>
          <w:rFonts w:asciiTheme="minorHAnsi" w:hAnsiTheme="minorHAnsi" w:cs="Arial"/>
          <w:color w:val="231F20"/>
          <w:spacing w:val="-1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I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SM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lo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g</w:t>
      </w:r>
      <w:r w:rsidRPr="00C01089">
        <w:rPr>
          <w:rFonts w:asciiTheme="minorHAnsi" w:hAnsiTheme="minorHAnsi" w:cs="Arial"/>
          <w:color w:val="231F20"/>
          <w:szCs w:val="23"/>
        </w:rPr>
        <w:t>o</w:t>
      </w:r>
      <w:r w:rsidRPr="00C01089">
        <w:rPr>
          <w:rFonts w:asciiTheme="minorHAnsi" w:hAnsiTheme="minorHAnsi" w:cs="Arial"/>
          <w:color w:val="231F20"/>
          <w:spacing w:val="-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and</w:t>
      </w:r>
      <w:r w:rsidRPr="00C01089">
        <w:rPr>
          <w:rFonts w:asciiTheme="minorHAnsi" w:hAnsiTheme="minorHAnsi" w:cs="Arial"/>
          <w:color w:val="231F20"/>
          <w:spacing w:val="-17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whe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o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he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wise</w:t>
      </w:r>
      <w:r w:rsidRPr="00C01089">
        <w:rPr>
          <w:rFonts w:asciiTheme="minorHAnsi" w:hAnsiTheme="minorHAnsi" w:cs="Arial"/>
          <w:color w:val="231F20"/>
          <w:spacing w:val="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n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o</w:t>
      </w:r>
      <w:r w:rsidRPr="00C01089">
        <w:rPr>
          <w:rFonts w:asciiTheme="minorHAnsi" w:hAnsiTheme="minorHAnsi" w:cs="Arial"/>
          <w:color w:val="231F20"/>
          <w:spacing w:val="-4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-1"/>
          <w:szCs w:val="23"/>
        </w:rPr>
        <w:t>d</w:t>
      </w:r>
      <w:r w:rsidRPr="00C01089">
        <w:rPr>
          <w:rFonts w:asciiTheme="minorHAnsi" w:hAnsiTheme="minorHAnsi" w:cs="Arial"/>
          <w:color w:val="231F20"/>
          <w:szCs w:val="23"/>
        </w:rPr>
        <w:t>,</w:t>
      </w:r>
      <w:r w:rsidRPr="00C01089">
        <w:rPr>
          <w:rFonts w:asciiTheme="minorHAnsi" w:hAnsiTheme="minorHAnsi" w:cs="Arial"/>
          <w:color w:val="231F20"/>
          <w:spacing w:val="9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all</w:t>
      </w:r>
      <w:r w:rsidRPr="00C01089">
        <w:rPr>
          <w:rFonts w:asciiTheme="minorHAnsi" w:hAnsiTheme="minorHAnsi" w:cs="Arial"/>
          <w:color w:val="231F20"/>
          <w:spacing w:val="-20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ma</w:t>
      </w:r>
      <w:r w:rsidRPr="00C01089">
        <w:rPr>
          <w:rFonts w:asciiTheme="minorHAnsi" w:hAnsiTheme="minorHAnsi" w:cs="Arial"/>
          <w:color w:val="231F20"/>
          <w:spacing w:val="-4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e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ial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in</w:t>
      </w:r>
      <w:r w:rsidRPr="00C01089">
        <w:rPr>
          <w:rFonts w:asciiTheme="minorHAnsi" w:hAnsiTheme="minorHAnsi" w:cs="Arial"/>
          <w:color w:val="231F20"/>
          <w:spacing w:val="-8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his publi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a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ion</w:t>
      </w:r>
      <w:r w:rsidRPr="00C01089">
        <w:rPr>
          <w:rFonts w:asciiTheme="minorHAnsi" w:hAnsiTheme="minorHAnsi" w:cs="Arial"/>
          <w:color w:val="231F20"/>
          <w:spacing w:val="20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is</w:t>
      </w:r>
      <w:r w:rsidRPr="00C01089">
        <w:rPr>
          <w:rFonts w:asciiTheme="minorHAnsi" w:hAnsiTheme="minorHAnsi" w:cs="Arial"/>
          <w:color w:val="231F20"/>
          <w:spacing w:val="-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p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r</w:t>
      </w:r>
      <w:r w:rsidRPr="00C01089">
        <w:rPr>
          <w:rFonts w:asciiTheme="minorHAnsi" w:hAnsiTheme="minorHAnsi" w:cs="Arial"/>
          <w:color w:val="231F20"/>
          <w:spacing w:val="-3"/>
          <w:szCs w:val="23"/>
        </w:rPr>
        <w:t>o</w:t>
      </w:r>
      <w:r w:rsidRPr="00C01089">
        <w:rPr>
          <w:rFonts w:asciiTheme="minorHAnsi" w:hAnsiTheme="minorHAnsi" w:cs="Arial"/>
          <w:color w:val="231F20"/>
          <w:szCs w:val="23"/>
        </w:rPr>
        <w:t>vided</w:t>
      </w:r>
      <w:r w:rsidRPr="00C01089">
        <w:rPr>
          <w:rFonts w:asciiTheme="minorHAnsi" w:hAnsiTheme="minorHAnsi" w:cs="Arial"/>
          <w:color w:val="231F20"/>
          <w:spacing w:val="4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under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a</w:t>
      </w:r>
      <w:r w:rsidRPr="00C01089">
        <w:rPr>
          <w:rFonts w:asciiTheme="minorHAnsi" w:hAnsiTheme="minorHAnsi" w:cs="Arial"/>
          <w:color w:val="231F20"/>
          <w:spacing w:val="-13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C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ea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v</w:t>
      </w:r>
      <w:r w:rsidRPr="00C01089">
        <w:rPr>
          <w:rFonts w:asciiTheme="minorHAnsi" w:hAnsiTheme="minorHAnsi" w:cs="Arial"/>
          <w:color w:val="231F20"/>
          <w:szCs w:val="23"/>
        </w:rPr>
        <w:t xml:space="preserve">e 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C</w:t>
      </w:r>
      <w:r w:rsidRPr="00C01089">
        <w:rPr>
          <w:rFonts w:asciiTheme="minorHAnsi" w:hAnsiTheme="minorHAnsi" w:cs="Arial"/>
          <w:color w:val="231F20"/>
          <w:szCs w:val="23"/>
        </w:rPr>
        <w:t>ommons</w:t>
      </w:r>
      <w:r w:rsidRPr="00C01089">
        <w:rPr>
          <w:rFonts w:asciiTheme="minorHAnsi" w:hAnsiTheme="minorHAnsi" w:cs="Arial"/>
          <w:color w:val="231F20"/>
          <w:spacing w:val="15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A</w:t>
      </w:r>
      <w:r w:rsidRPr="00C01089">
        <w:rPr>
          <w:rFonts w:asciiTheme="minorHAnsi" w:hAnsiTheme="minorHAnsi" w:cs="Arial"/>
          <w:color w:val="231F20"/>
          <w:spacing w:val="6"/>
          <w:szCs w:val="23"/>
        </w:rPr>
        <w:t>t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r</w:t>
      </w:r>
      <w:r w:rsidRPr="00C01089">
        <w:rPr>
          <w:rFonts w:asciiTheme="minorHAnsi" w:hAnsiTheme="minorHAnsi" w:cs="Arial"/>
          <w:color w:val="231F20"/>
          <w:szCs w:val="23"/>
        </w:rPr>
        <w:t>ibu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ion</w:t>
      </w:r>
      <w:r w:rsidRPr="00C01089">
        <w:rPr>
          <w:rFonts w:asciiTheme="minorHAnsi" w:hAnsiTheme="minorHAnsi" w:cs="Arial"/>
          <w:color w:val="231F20"/>
          <w:spacing w:val="8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zCs w:val="23"/>
        </w:rPr>
        <w:t>3.0</w:t>
      </w:r>
      <w:r w:rsidRPr="00C01089">
        <w:rPr>
          <w:rFonts w:asciiTheme="minorHAnsi" w:hAnsiTheme="minorHAnsi" w:cs="Arial"/>
          <w:color w:val="231F20"/>
          <w:spacing w:val="-16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A</w:t>
      </w:r>
      <w:r w:rsidRPr="00C01089">
        <w:rPr>
          <w:rFonts w:asciiTheme="minorHAnsi" w:hAnsiTheme="minorHAnsi" w:cs="Arial"/>
          <w:color w:val="231F20"/>
          <w:szCs w:val="23"/>
        </w:rPr>
        <w:t>u</w:t>
      </w:r>
      <w:r w:rsidRPr="00C01089">
        <w:rPr>
          <w:rFonts w:asciiTheme="minorHAnsi" w:hAnsiTheme="minorHAnsi" w:cs="Arial"/>
          <w:color w:val="231F20"/>
          <w:spacing w:val="1"/>
          <w:szCs w:val="23"/>
        </w:rPr>
        <w:t>s</w:t>
      </w:r>
      <w:r w:rsidRPr="00C01089">
        <w:rPr>
          <w:rFonts w:asciiTheme="minorHAnsi" w:hAnsiTheme="minorHAnsi" w:cs="Arial"/>
          <w:color w:val="231F20"/>
          <w:spacing w:val="-2"/>
          <w:szCs w:val="23"/>
        </w:rPr>
        <w:t>t</w:t>
      </w:r>
      <w:r w:rsidRPr="00C01089">
        <w:rPr>
          <w:rFonts w:asciiTheme="minorHAnsi" w:hAnsiTheme="minorHAnsi" w:cs="Arial"/>
          <w:color w:val="231F20"/>
          <w:szCs w:val="23"/>
        </w:rPr>
        <w:t>ralia Licence</w:t>
      </w:r>
      <w:r w:rsidRPr="00C01089">
        <w:rPr>
          <w:rFonts w:asciiTheme="minorHAnsi" w:hAnsiTheme="minorHAnsi" w:cs="Arial"/>
          <w:color w:val="231F20"/>
          <w:spacing w:val="22"/>
          <w:szCs w:val="23"/>
        </w:rPr>
        <w:t xml:space="preserve"> </w:t>
      </w:r>
      <w:r w:rsidRPr="00C01089">
        <w:rPr>
          <w:rFonts w:asciiTheme="minorHAnsi" w:hAnsiTheme="minorHAnsi" w:cs="Arial"/>
          <w:color w:val="231F20"/>
          <w:spacing w:val="2"/>
          <w:szCs w:val="23"/>
        </w:rPr>
        <w:t>(</w:t>
      </w:r>
      <w:hyperlink r:id="rId12" w:history="1">
        <w:r w:rsidRPr="00C01089">
          <w:rPr>
            <w:rStyle w:val="Hyperlink"/>
            <w:rFonts w:asciiTheme="minorHAnsi" w:hAnsiTheme="minorHAnsi" w:cs="Arial"/>
            <w:szCs w:val="23"/>
          </w:rPr>
          <w:t>h</w:t>
        </w:r>
        <w:r w:rsidRPr="00C01089">
          <w:rPr>
            <w:rStyle w:val="Hyperlink"/>
            <w:rFonts w:asciiTheme="minorHAnsi" w:hAnsiTheme="minorHAnsi" w:cs="Arial"/>
            <w:spacing w:val="6"/>
            <w:szCs w:val="23"/>
          </w:rPr>
          <w:t>t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t</w:t>
        </w:r>
        <w:r w:rsidRPr="00C01089">
          <w:rPr>
            <w:rStyle w:val="Hyperlink"/>
            <w:rFonts w:asciiTheme="minorHAnsi" w:hAnsiTheme="minorHAnsi" w:cs="Arial"/>
            <w:spacing w:val="3"/>
            <w:szCs w:val="23"/>
          </w:rPr>
          <w:t>p</w:t>
        </w:r>
        <w:r w:rsidRPr="00C01089">
          <w:rPr>
            <w:rStyle w:val="Hyperlink"/>
            <w:rFonts w:asciiTheme="minorHAnsi" w:hAnsiTheme="minorHAnsi" w:cs="Arial"/>
            <w:szCs w:val="23"/>
          </w:rPr>
          <w:t>:</w:t>
        </w:r>
        <w:r w:rsidRPr="00C01089">
          <w:rPr>
            <w:rStyle w:val="Hyperlink"/>
            <w:rFonts w:asciiTheme="minorHAnsi" w:hAnsiTheme="minorHAnsi" w:cs="Arial"/>
            <w:spacing w:val="-7"/>
            <w:szCs w:val="23"/>
          </w:rPr>
          <w:t>/</w:t>
        </w:r>
        <w:r w:rsidRPr="00C01089">
          <w:rPr>
            <w:rStyle w:val="Hyperlink"/>
            <w:rFonts w:asciiTheme="minorHAnsi" w:hAnsiTheme="minorHAnsi" w:cs="Arial"/>
            <w:szCs w:val="23"/>
          </w:rPr>
          <w:t>/ww</w:t>
        </w:r>
        <w:r w:rsidRPr="00C01089">
          <w:rPr>
            <w:rStyle w:val="Hyperlink"/>
            <w:rFonts w:asciiTheme="minorHAnsi" w:hAnsiTheme="minorHAnsi" w:cs="Arial"/>
            <w:spacing w:val="-7"/>
            <w:szCs w:val="23"/>
          </w:rPr>
          <w:t>w</w:t>
        </w:r>
        <w:r w:rsidRPr="00C01089">
          <w:rPr>
            <w:rStyle w:val="Hyperlink"/>
            <w:rFonts w:asciiTheme="minorHAnsi" w:hAnsiTheme="minorHAnsi" w:cs="Arial"/>
            <w:szCs w:val="23"/>
          </w:rPr>
          <w:t>.c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r</w:t>
        </w:r>
        <w:r w:rsidRPr="00C01089">
          <w:rPr>
            <w:rStyle w:val="Hyperlink"/>
            <w:rFonts w:asciiTheme="minorHAnsi" w:hAnsiTheme="minorHAnsi" w:cs="Arial"/>
            <w:szCs w:val="23"/>
          </w:rPr>
          <w:t>ea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t</w:t>
        </w:r>
        <w:r w:rsidRPr="00C01089">
          <w:rPr>
            <w:rStyle w:val="Hyperlink"/>
            <w:rFonts w:asciiTheme="minorHAnsi" w:hAnsiTheme="minorHAnsi" w:cs="Arial"/>
            <w:szCs w:val="23"/>
          </w:rPr>
          <w:t>i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v</w:t>
        </w:r>
        <w:r w:rsidRPr="00C01089">
          <w:rPr>
            <w:rStyle w:val="Hyperlink"/>
            <w:rFonts w:asciiTheme="minorHAnsi" w:hAnsiTheme="minorHAnsi" w:cs="Arial"/>
            <w:szCs w:val="23"/>
          </w:rPr>
          <w:t>ecommon</w:t>
        </w:r>
        <w:r w:rsidRPr="00C01089">
          <w:rPr>
            <w:rStyle w:val="Hyperlink"/>
            <w:rFonts w:asciiTheme="minorHAnsi" w:hAnsiTheme="minorHAnsi" w:cs="Arial"/>
            <w:spacing w:val="1"/>
            <w:szCs w:val="23"/>
          </w:rPr>
          <w:t>s</w:t>
        </w:r>
        <w:r w:rsidRPr="00C01089">
          <w:rPr>
            <w:rStyle w:val="Hyperlink"/>
            <w:rFonts w:asciiTheme="minorHAnsi" w:hAnsiTheme="minorHAnsi" w:cs="Arial"/>
            <w:szCs w:val="23"/>
          </w:rPr>
          <w:t>.o</w:t>
        </w:r>
        <w:r w:rsidRPr="00C01089">
          <w:rPr>
            <w:rStyle w:val="Hyperlink"/>
            <w:rFonts w:asciiTheme="minorHAnsi" w:hAnsiTheme="minorHAnsi" w:cs="Arial"/>
            <w:spacing w:val="-1"/>
            <w:szCs w:val="23"/>
          </w:rPr>
          <w:t>r</w:t>
        </w:r>
        <w:r w:rsidRPr="00C01089">
          <w:rPr>
            <w:rStyle w:val="Hyperlink"/>
            <w:rFonts w:asciiTheme="minorHAnsi" w:hAnsiTheme="minorHAnsi" w:cs="Arial"/>
            <w:szCs w:val="23"/>
          </w:rPr>
          <w:t>g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/</w:t>
        </w:r>
        <w:r w:rsidRPr="00C01089">
          <w:rPr>
            <w:rStyle w:val="Hyperlink"/>
            <w:rFonts w:asciiTheme="minorHAnsi" w:hAnsiTheme="minorHAnsi" w:cs="Arial"/>
            <w:szCs w:val="23"/>
          </w:rPr>
          <w:t>licens</w:t>
        </w:r>
        <w:r w:rsidRPr="00C01089">
          <w:rPr>
            <w:rStyle w:val="Hyperlink"/>
            <w:rFonts w:asciiTheme="minorHAnsi" w:hAnsiTheme="minorHAnsi" w:cs="Arial"/>
            <w:spacing w:val="1"/>
            <w:szCs w:val="23"/>
          </w:rPr>
          <w:t>e</w:t>
        </w:r>
        <w:r w:rsidRPr="00C01089">
          <w:rPr>
            <w:rStyle w:val="Hyperlink"/>
            <w:rFonts w:asciiTheme="minorHAnsi" w:hAnsiTheme="minorHAnsi" w:cs="Arial"/>
            <w:szCs w:val="23"/>
          </w:rPr>
          <w:t>s</w:t>
        </w:r>
        <w:r w:rsidRPr="00C01089">
          <w:rPr>
            <w:rStyle w:val="Hyperlink"/>
            <w:rFonts w:asciiTheme="minorHAnsi" w:hAnsiTheme="minorHAnsi" w:cs="Arial"/>
            <w:spacing w:val="-2"/>
            <w:szCs w:val="23"/>
          </w:rPr>
          <w:t>/</w:t>
        </w:r>
        <w:r w:rsidRPr="00C01089">
          <w:rPr>
            <w:rStyle w:val="Hyperlink"/>
            <w:rFonts w:asciiTheme="minorHAnsi" w:hAnsiTheme="minorHAnsi" w:cs="Arial"/>
            <w:spacing w:val="-3"/>
            <w:szCs w:val="23"/>
          </w:rPr>
          <w:t>b</w:t>
        </w:r>
        <w:r w:rsidRPr="00C01089">
          <w:rPr>
            <w:rStyle w:val="Hyperlink"/>
            <w:rFonts w:asciiTheme="minorHAnsi" w:hAnsiTheme="minorHAnsi" w:cs="Arial"/>
            <w:szCs w:val="23"/>
          </w:rPr>
          <w:t>y/3.0/au</w:t>
        </w:r>
        <w:r w:rsidRPr="00C01089">
          <w:rPr>
            <w:rStyle w:val="Hyperlink"/>
            <w:rFonts w:asciiTheme="minorHAnsi" w:hAnsiTheme="minorHAnsi" w:cs="Arial"/>
            <w:spacing w:val="-1"/>
            <w:szCs w:val="23"/>
          </w:rPr>
          <w:t>/</w:t>
        </w:r>
      </w:hyperlink>
      <w:r w:rsidRPr="00C01089">
        <w:rPr>
          <w:rFonts w:asciiTheme="minorHAnsi" w:hAnsiTheme="minorHAnsi" w:cs="Arial"/>
          <w:color w:val="231F20"/>
          <w:szCs w:val="23"/>
        </w:rPr>
        <w:t>)</w:t>
      </w:r>
    </w:p>
    <w:p w:rsidR="009841A6" w:rsidRPr="007F291E" w:rsidRDefault="009841A6" w:rsidP="009841A6">
      <w:pPr>
        <w:spacing w:before="0" w:after="0"/>
      </w:pPr>
      <w:r w:rsidRPr="007F291E">
        <w:t xml:space="preserve"> </w:t>
      </w:r>
    </w:p>
    <w:p w:rsidR="009841A6" w:rsidRDefault="009841A6" w:rsidP="009841A6">
      <w:bookmarkStart w:id="5" w:name="_GoBack"/>
      <w:bookmarkEnd w:id="5"/>
    </w:p>
    <w:p w:rsidR="00B76596" w:rsidRDefault="00B76596">
      <w:pPr>
        <w:spacing w:before="0" w:after="0"/>
        <w:jc w:val="left"/>
        <w:rPr>
          <w:rFonts w:ascii="Verdana" w:hAnsi="Verdana"/>
          <w:b/>
          <w:bCs/>
          <w:color w:val="4F6228" w:themeColor="accent3" w:themeShade="80"/>
          <w:sz w:val="30"/>
          <w:szCs w:val="20"/>
          <w:lang w:eastAsia="en-US"/>
        </w:rPr>
      </w:pPr>
      <w:r>
        <w:rPr>
          <w:color w:val="4F6228" w:themeColor="accent3" w:themeShade="80"/>
        </w:rPr>
        <w:br w:type="page"/>
      </w:r>
    </w:p>
    <w:p w:rsidR="00352EE4" w:rsidRPr="002E27C7" w:rsidRDefault="00352EE4" w:rsidP="009D75BB">
      <w:pPr>
        <w:pStyle w:val="Heading1Nonumbers"/>
        <w:rPr>
          <w:color w:val="4F6228" w:themeColor="accent3" w:themeShade="80"/>
        </w:rPr>
      </w:pPr>
      <w:bookmarkStart w:id="6" w:name="_Toc399488973"/>
      <w:r w:rsidRPr="002E27C7">
        <w:rPr>
          <w:color w:val="4F6228" w:themeColor="accent3" w:themeShade="80"/>
        </w:rPr>
        <w:lastRenderedPageBreak/>
        <w:t>Table of contents</w:t>
      </w:r>
      <w:bookmarkEnd w:id="1"/>
      <w:bookmarkEnd w:id="2"/>
      <w:bookmarkEnd w:id="3"/>
      <w:bookmarkEnd w:id="4"/>
      <w:bookmarkEnd w:id="6"/>
    </w:p>
    <w:p w:rsidR="00352EE4" w:rsidRPr="005C12A1" w:rsidRDefault="00352EE4" w:rsidP="00352EE4">
      <w:pPr>
        <w:pStyle w:val="TOC1"/>
      </w:pPr>
    </w:p>
    <w:p w:rsidR="00452359" w:rsidRDefault="00352EE4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r w:rsidRPr="005C12A1">
        <w:rPr>
          <w:vanish/>
        </w:rPr>
        <w:fldChar w:fldCharType="begin"/>
      </w:r>
      <w:r w:rsidRPr="005C12A1">
        <w:rPr>
          <w:vanish/>
        </w:rPr>
        <w:instrText xml:space="preserve"> TOC \o "1-3" \h \z \t "Appendix A,2,Style Caption + 16 pt Not Bold,1" </w:instrText>
      </w:r>
      <w:r w:rsidRPr="005C12A1">
        <w:rPr>
          <w:vanish/>
        </w:rPr>
        <w:fldChar w:fldCharType="separate"/>
      </w:r>
      <w:hyperlink w:anchor="_Toc399488972" w:history="1">
        <w:r w:rsidR="00452359" w:rsidRPr="00532296">
          <w:rPr>
            <w:rStyle w:val="Hyperlink"/>
            <w:noProof/>
          </w:rPr>
          <w:t>Document History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_Toc399488972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2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73" w:history="1">
        <w:r w:rsidR="00452359" w:rsidRPr="00532296">
          <w:rPr>
            <w:rStyle w:val="Hyperlink"/>
            <w:noProof/>
          </w:rPr>
          <w:t>Table of contents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_Toc399488973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3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74" w:history="1">
        <w:r w:rsidR="00452359" w:rsidRPr="00532296">
          <w:rPr>
            <w:rStyle w:val="Hyperlink"/>
            <w:noProof/>
          </w:rPr>
          <w:t>List of figures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_Toc399488974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3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75" w:history="1">
        <w:r w:rsidR="00452359" w:rsidRPr="00532296">
          <w:rPr>
            <w:rStyle w:val="Hyperlink"/>
            <w:noProof/>
          </w:rPr>
          <w:t>Terms and definitions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_Toc399488975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4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76" w:history="1">
        <w:r w:rsidR="00452359" w:rsidRPr="00532296">
          <w:rPr>
            <w:rStyle w:val="Hyperlink"/>
            <w:rFonts w:cs="Copperplate Gothic Bold"/>
            <w:noProof/>
            <w:spacing w:val="40"/>
          </w:rPr>
          <w:t>1</w:t>
        </w:r>
        <w:r w:rsidR="0045235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About this Guideline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_Toc399488976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4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8977" w:history="1">
        <w:r w:rsidR="00452359" w:rsidRPr="00532296">
          <w:rPr>
            <w:rStyle w:val="Hyperlink"/>
            <w:noProof/>
          </w:rPr>
          <w:t>1.1</w:t>
        </w:r>
        <w:r w:rsidR="0045235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Introduction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_Toc399488977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4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8978" w:history="1">
        <w:r w:rsidR="00452359" w:rsidRPr="00532296">
          <w:rPr>
            <w:rStyle w:val="Hyperlink"/>
            <w:noProof/>
          </w:rPr>
          <w:t>1.2</w:t>
        </w:r>
        <w:r w:rsidR="0045235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Normative references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_Toc399488978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4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79" w:history="1">
        <w:r w:rsidR="00452359" w:rsidRPr="00532296">
          <w:rPr>
            <w:rStyle w:val="Hyperlink"/>
            <w:rFonts w:cs="Copperplate Gothic Bold"/>
            <w:noProof/>
            <w:spacing w:val="40"/>
          </w:rPr>
          <w:t>2</w:t>
        </w:r>
        <w:r w:rsidR="0045235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Connection to datum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_Toc399488979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5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80" w:history="1">
        <w:r w:rsidR="00452359" w:rsidRPr="00532296">
          <w:rPr>
            <w:rStyle w:val="Hyperlink"/>
            <w:rFonts w:cs="Copperplate Gothic Bold"/>
            <w:noProof/>
            <w:spacing w:val="40"/>
          </w:rPr>
          <w:t>3</w:t>
        </w:r>
        <w:r w:rsidR="0045235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Levelling Guidelines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_Toc399488980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6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8981" w:history="1">
        <w:r w:rsidR="00452359" w:rsidRPr="00532296">
          <w:rPr>
            <w:rStyle w:val="Hyperlink"/>
            <w:noProof/>
          </w:rPr>
          <w:t>3.1</w:t>
        </w:r>
        <w:r w:rsidR="0045235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Differential levelling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_Toc399488981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6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3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82" w:history="1">
        <w:r w:rsidR="00452359" w:rsidRPr="00532296">
          <w:rPr>
            <w:rStyle w:val="Hyperlink"/>
            <w:noProof/>
          </w:rPr>
          <w:t>3.1.1</w:t>
        </w:r>
        <w:r w:rsidR="004523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2359" w:rsidRPr="00532296">
          <w:rPr>
            <w:rStyle w:val="Hyperlink"/>
            <w:noProof/>
          </w:rPr>
          <w:t>Differential levelling equipment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_Toc399488982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6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3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83" w:history="1">
        <w:r w:rsidR="00452359" w:rsidRPr="00532296">
          <w:rPr>
            <w:rStyle w:val="Hyperlink"/>
            <w:noProof/>
          </w:rPr>
          <w:t>3.1.2</w:t>
        </w:r>
        <w:r w:rsidR="004523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2359" w:rsidRPr="00532296">
          <w:rPr>
            <w:rStyle w:val="Hyperlink"/>
            <w:noProof/>
          </w:rPr>
          <w:t>Differential levelling observation techniques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_Toc399488983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7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2"/>
        <w:tabs>
          <w:tab w:val="left" w:pos="9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en-AU"/>
        </w:rPr>
      </w:pPr>
      <w:hyperlink w:anchor="_Toc399488984" w:history="1">
        <w:r w:rsidR="00452359" w:rsidRPr="00532296">
          <w:rPr>
            <w:rStyle w:val="Hyperlink"/>
            <w:noProof/>
          </w:rPr>
          <w:t>3.2</w:t>
        </w:r>
        <w:r w:rsidR="00452359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Total station differential levelling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_Toc399488984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8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3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85" w:history="1">
        <w:r w:rsidR="00452359" w:rsidRPr="00532296">
          <w:rPr>
            <w:rStyle w:val="Hyperlink"/>
            <w:noProof/>
          </w:rPr>
          <w:t>3.2.1</w:t>
        </w:r>
        <w:r w:rsidR="004523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2359" w:rsidRPr="00532296">
          <w:rPr>
            <w:rStyle w:val="Hyperlink"/>
            <w:noProof/>
          </w:rPr>
          <w:t>Total station differential levelling equipment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_Toc399488985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8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3"/>
        <w:tabs>
          <w:tab w:val="left" w:pos="127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86" w:history="1">
        <w:r w:rsidR="00452359" w:rsidRPr="00532296">
          <w:rPr>
            <w:rStyle w:val="Hyperlink"/>
            <w:noProof/>
          </w:rPr>
          <w:t>3.2.2</w:t>
        </w:r>
        <w:r w:rsidR="0045235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2359" w:rsidRPr="00532296">
          <w:rPr>
            <w:rStyle w:val="Hyperlink"/>
            <w:noProof/>
          </w:rPr>
          <w:t>Total station differential levelling observation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_Toc399488986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9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87" w:history="1">
        <w:r w:rsidR="00452359" w:rsidRPr="00532296">
          <w:rPr>
            <w:rStyle w:val="Hyperlink"/>
            <w:rFonts w:cs="Copperplate Gothic Bold"/>
            <w:noProof/>
            <w:spacing w:val="40"/>
          </w:rPr>
          <w:t>4</w:t>
        </w:r>
        <w:r w:rsidR="0045235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Differential levelling quality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_Toc399488987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10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lang w:eastAsia="en-AU"/>
        </w:rPr>
      </w:pPr>
      <w:hyperlink w:anchor="_Toc399488988" w:history="1">
        <w:r w:rsidR="00452359" w:rsidRPr="00532296">
          <w:rPr>
            <w:rStyle w:val="Hyperlink"/>
            <w:rFonts w:cs="Copperplate Gothic Bold"/>
            <w:noProof/>
            <w:spacing w:val="40"/>
          </w:rPr>
          <w:t>5</w:t>
        </w:r>
        <w:r w:rsidR="00452359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lang w:eastAsia="en-AU"/>
          </w:rPr>
          <w:tab/>
        </w:r>
        <w:r w:rsidR="00452359" w:rsidRPr="00532296">
          <w:rPr>
            <w:rStyle w:val="Hyperlink"/>
            <w:noProof/>
          </w:rPr>
          <w:t>Example evaluation procedure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_Toc399488988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10</w:t>
        </w:r>
        <w:r w:rsidR="00452359">
          <w:rPr>
            <w:noProof/>
            <w:webHidden/>
          </w:rPr>
          <w:fldChar w:fldCharType="end"/>
        </w:r>
      </w:hyperlink>
    </w:p>
    <w:p w:rsidR="00CD39A1" w:rsidRPr="005C12A1" w:rsidRDefault="00352EE4" w:rsidP="00A564B2">
      <w:r w:rsidRPr="005C12A1">
        <w:fldChar w:fldCharType="end"/>
      </w:r>
      <w:bookmarkStart w:id="7" w:name="_Toc320714262"/>
    </w:p>
    <w:p w:rsidR="00315E40" w:rsidRPr="002E27C7" w:rsidRDefault="00315E40" w:rsidP="00315E40">
      <w:pPr>
        <w:pStyle w:val="Heading1Nonumbers"/>
        <w:rPr>
          <w:color w:val="4F6228" w:themeColor="accent3" w:themeShade="80"/>
        </w:rPr>
      </w:pPr>
      <w:bookmarkStart w:id="8" w:name="_Toc363023369"/>
      <w:bookmarkStart w:id="9" w:name="_Toc399488974"/>
      <w:r w:rsidRPr="002E27C7">
        <w:rPr>
          <w:color w:val="4F6228" w:themeColor="accent3" w:themeShade="80"/>
        </w:rPr>
        <w:t>List of figures</w:t>
      </w:r>
      <w:bookmarkEnd w:id="8"/>
      <w:bookmarkEnd w:id="9"/>
    </w:p>
    <w:p w:rsidR="00452359" w:rsidRDefault="00315E40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C12A1">
        <w:fldChar w:fldCharType="begin"/>
      </w:r>
      <w:r w:rsidRPr="005C12A1">
        <w:instrText xml:space="preserve"> TOC \h \z \c "Figure" </w:instrText>
      </w:r>
      <w:r w:rsidRPr="005C12A1">
        <w:fldChar w:fldCharType="separate"/>
      </w:r>
      <w:hyperlink w:anchor="_Toc399488989" w:history="1">
        <w:r w:rsidR="00452359" w:rsidRPr="0072399D">
          <w:rPr>
            <w:rStyle w:val="Hyperlink"/>
            <w:noProof/>
          </w:rPr>
          <w:t>Figure 1: Differential levelling survey example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_Toc399488989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10</w:t>
        </w:r>
        <w:r w:rsidR="00452359">
          <w:rPr>
            <w:noProof/>
            <w:webHidden/>
          </w:rPr>
          <w:fldChar w:fldCharType="end"/>
        </w:r>
      </w:hyperlink>
    </w:p>
    <w:p w:rsidR="00E84DE6" w:rsidRPr="005C12A1" w:rsidRDefault="00315E40" w:rsidP="00315E40">
      <w:r w:rsidRPr="005C12A1">
        <w:fldChar w:fldCharType="end"/>
      </w:r>
    </w:p>
    <w:p w:rsidR="00FE389F" w:rsidRPr="002E27C7" w:rsidRDefault="00FE389F" w:rsidP="00315E40">
      <w:pPr>
        <w:rPr>
          <w:color w:val="4F6228" w:themeColor="accent3" w:themeShade="80"/>
          <w:szCs w:val="30"/>
        </w:rPr>
      </w:pPr>
      <w:r w:rsidRPr="002E27C7">
        <w:rPr>
          <w:rFonts w:ascii="Verdana" w:hAnsi="Verdana"/>
          <w:b/>
          <w:color w:val="4F6228" w:themeColor="accent3" w:themeShade="80"/>
          <w:sz w:val="30"/>
          <w:szCs w:val="30"/>
        </w:rPr>
        <w:t xml:space="preserve">List of </w:t>
      </w:r>
      <w:r w:rsidR="00743B45" w:rsidRPr="002E27C7">
        <w:rPr>
          <w:rFonts w:ascii="Verdana" w:hAnsi="Verdana"/>
          <w:b/>
          <w:color w:val="4F6228" w:themeColor="accent3" w:themeShade="80"/>
          <w:sz w:val="30"/>
          <w:szCs w:val="30"/>
        </w:rPr>
        <w:t>t</w:t>
      </w:r>
      <w:r w:rsidRPr="002E27C7">
        <w:rPr>
          <w:rFonts w:ascii="Verdana" w:hAnsi="Verdana"/>
          <w:b/>
          <w:color w:val="4F6228" w:themeColor="accent3" w:themeShade="80"/>
          <w:sz w:val="30"/>
          <w:szCs w:val="30"/>
        </w:rPr>
        <w:t>ables</w:t>
      </w:r>
      <w:bookmarkEnd w:id="7"/>
    </w:p>
    <w:p w:rsidR="00452359" w:rsidRDefault="00FE389F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C12A1">
        <w:fldChar w:fldCharType="begin"/>
      </w:r>
      <w:r w:rsidRPr="005C12A1">
        <w:instrText xml:space="preserve"> TOC \h \z \c "Table" </w:instrText>
      </w:r>
      <w:r w:rsidRPr="005C12A1">
        <w:fldChar w:fldCharType="separate"/>
      </w:r>
      <w:hyperlink w:anchor="_Toc399488990" w:history="1">
        <w:r w:rsidR="00452359" w:rsidRPr="009D4B8F">
          <w:rPr>
            <w:rStyle w:val="Hyperlink"/>
            <w:noProof/>
          </w:rPr>
          <w:t>Table 1: Differential levelling equipment recommendations, where k = distance in kilometres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_Toc399488990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6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91" w:history="1">
        <w:r w:rsidR="00452359" w:rsidRPr="009D4B8F">
          <w:rPr>
            <w:rStyle w:val="Hyperlink"/>
            <w:noProof/>
          </w:rPr>
          <w:t>Table 2: Differential levelling observation techniques, where k = distance in kilometres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_Toc399488991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7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92" w:history="1">
        <w:r w:rsidR="00452359" w:rsidRPr="009D4B8F">
          <w:rPr>
            <w:rStyle w:val="Hyperlink"/>
            <w:noProof/>
          </w:rPr>
          <w:t>Table 3: Total station levelling equipment recommendations, where k = distance in kilometres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_Toc399488992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8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93" w:history="1">
        <w:r w:rsidR="00452359" w:rsidRPr="009D4B8F">
          <w:rPr>
            <w:rStyle w:val="Hyperlink"/>
            <w:noProof/>
          </w:rPr>
          <w:t>Table 4: Total station differential levelling observation techniques, where k = distance in kilometres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_Toc399488993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9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94" w:history="1">
        <w:r w:rsidR="00452359" w:rsidRPr="009D4B8F">
          <w:rPr>
            <w:rStyle w:val="Hyperlink"/>
            <w:noProof/>
          </w:rPr>
          <w:t>Table 5: Evaluating the forward and backward miscloses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_Toc399488994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11</w:t>
        </w:r>
        <w:r w:rsidR="00452359">
          <w:rPr>
            <w:noProof/>
            <w:webHidden/>
          </w:rPr>
          <w:fldChar w:fldCharType="end"/>
        </w:r>
      </w:hyperlink>
    </w:p>
    <w:p w:rsidR="00452359" w:rsidRDefault="00882D6D">
      <w:pPr>
        <w:pStyle w:val="TableofFigures"/>
        <w:tabs>
          <w:tab w:val="right" w:leader="dot" w:pos="8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488995" w:history="1">
        <w:r w:rsidR="00452359" w:rsidRPr="009D4B8F">
          <w:rPr>
            <w:rStyle w:val="Hyperlink"/>
            <w:noProof/>
          </w:rPr>
          <w:t>Table 6: Evaluating and adjusting the traverse misclose</w:t>
        </w:r>
        <w:r w:rsidR="00452359">
          <w:rPr>
            <w:noProof/>
            <w:webHidden/>
          </w:rPr>
          <w:tab/>
        </w:r>
        <w:r w:rsidR="00452359">
          <w:rPr>
            <w:noProof/>
            <w:webHidden/>
          </w:rPr>
          <w:fldChar w:fldCharType="begin"/>
        </w:r>
        <w:r w:rsidR="00452359">
          <w:rPr>
            <w:noProof/>
            <w:webHidden/>
          </w:rPr>
          <w:instrText xml:space="preserve"> PAGEREF _Toc399488995 \h </w:instrText>
        </w:r>
        <w:r w:rsidR="00452359">
          <w:rPr>
            <w:noProof/>
            <w:webHidden/>
          </w:rPr>
        </w:r>
        <w:r w:rsidR="00452359">
          <w:rPr>
            <w:noProof/>
            <w:webHidden/>
          </w:rPr>
          <w:fldChar w:fldCharType="separate"/>
        </w:r>
        <w:r w:rsidR="00452359">
          <w:rPr>
            <w:noProof/>
            <w:webHidden/>
          </w:rPr>
          <w:t>11</w:t>
        </w:r>
        <w:r w:rsidR="00452359">
          <w:rPr>
            <w:noProof/>
            <w:webHidden/>
          </w:rPr>
          <w:fldChar w:fldCharType="end"/>
        </w:r>
      </w:hyperlink>
    </w:p>
    <w:p w:rsidR="00FE389F" w:rsidRPr="005C12A1" w:rsidRDefault="00FE389F" w:rsidP="00BB10C4">
      <w:r w:rsidRPr="005C12A1">
        <w:fldChar w:fldCharType="end"/>
      </w:r>
    </w:p>
    <w:p w:rsidR="00BB10C4" w:rsidRPr="005C12A1" w:rsidRDefault="00BB10C4" w:rsidP="00BB10C4"/>
    <w:p w:rsidR="00344711" w:rsidRPr="002E27C7" w:rsidRDefault="00344711" w:rsidP="009D75BB">
      <w:pPr>
        <w:pStyle w:val="Heading1Nonumbers"/>
        <w:rPr>
          <w:color w:val="4F6228" w:themeColor="accent3" w:themeShade="80"/>
        </w:rPr>
      </w:pPr>
      <w:bookmarkStart w:id="10" w:name="_Toc399488975"/>
      <w:r w:rsidRPr="002E27C7">
        <w:rPr>
          <w:color w:val="4F6228" w:themeColor="accent3" w:themeShade="80"/>
        </w:rPr>
        <w:t>Terms and definitions</w:t>
      </w:r>
      <w:bookmarkEnd w:id="10"/>
    </w:p>
    <w:p w:rsidR="00E84DE6" w:rsidRDefault="00700A83" w:rsidP="00E84DE6">
      <w:r>
        <w:t>For the purpose of this G</w:t>
      </w:r>
      <w:r w:rsidR="00E84DE6" w:rsidRPr="005C12A1">
        <w:t xml:space="preserve">uideline, the terms and definitions </w:t>
      </w:r>
      <w:r w:rsidR="0038498A" w:rsidRPr="005C12A1">
        <w:t>are</w:t>
      </w:r>
      <w:r w:rsidR="00E84DE6" w:rsidRPr="005C12A1">
        <w:t xml:space="preserve"> those listed in the </w:t>
      </w:r>
      <w:r w:rsidR="00E84DE6" w:rsidRPr="005C12A1">
        <w:rPr>
          <w:i/>
        </w:rPr>
        <w:t>Standard for the Australian Survey Control Network – Special Publication 1, Version 2.</w:t>
      </w:r>
      <w:r w:rsidR="00A7714C">
        <w:rPr>
          <w:i/>
        </w:rPr>
        <w:t>1</w:t>
      </w:r>
      <w:r w:rsidR="00E84DE6" w:rsidRPr="005C12A1">
        <w:t>.</w:t>
      </w:r>
    </w:p>
    <w:p w:rsidR="00B76596" w:rsidRPr="005C12A1" w:rsidRDefault="00B76596" w:rsidP="00E84DE6"/>
    <w:p w:rsidR="00B76596" w:rsidRPr="006B250D" w:rsidRDefault="00B76596" w:rsidP="00B76596">
      <w:pPr>
        <w:pStyle w:val="Heading1"/>
        <w:tabs>
          <w:tab w:val="clear" w:pos="889"/>
          <w:tab w:val="num" w:pos="709"/>
          <w:tab w:val="left" w:pos="1418"/>
        </w:tabs>
        <w:ind w:left="709"/>
        <w:rPr>
          <w:color w:val="4F6228" w:themeColor="accent3" w:themeShade="80"/>
        </w:rPr>
      </w:pPr>
      <w:bookmarkStart w:id="11" w:name="_Ref320619779"/>
      <w:bookmarkStart w:id="12" w:name="_Toc320623092"/>
      <w:bookmarkStart w:id="13" w:name="_Toc320718421"/>
      <w:bookmarkStart w:id="14" w:name="_Toc370370134"/>
      <w:bookmarkStart w:id="15" w:name="_Toc399488976"/>
      <w:r w:rsidRPr="006B250D">
        <w:rPr>
          <w:color w:val="4F6228" w:themeColor="accent3" w:themeShade="80"/>
        </w:rPr>
        <w:t xml:space="preserve">About this </w:t>
      </w:r>
      <w:bookmarkEnd w:id="11"/>
      <w:r w:rsidRPr="006B250D">
        <w:rPr>
          <w:color w:val="4F6228" w:themeColor="accent3" w:themeShade="80"/>
        </w:rPr>
        <w:t>Guideline</w:t>
      </w:r>
      <w:bookmarkEnd w:id="12"/>
      <w:bookmarkEnd w:id="13"/>
      <w:bookmarkEnd w:id="14"/>
      <w:bookmarkEnd w:id="15"/>
    </w:p>
    <w:p w:rsidR="000975D0" w:rsidRPr="002E27C7" w:rsidRDefault="00915AB6" w:rsidP="000A26FB">
      <w:pPr>
        <w:pStyle w:val="Heading2"/>
        <w:rPr>
          <w:color w:val="4F6228" w:themeColor="accent3" w:themeShade="80"/>
        </w:rPr>
      </w:pPr>
      <w:bookmarkStart w:id="16" w:name="_Toc399488977"/>
      <w:r w:rsidRPr="002E27C7">
        <w:rPr>
          <w:color w:val="4F6228" w:themeColor="accent3" w:themeShade="80"/>
        </w:rPr>
        <w:t>Introduction</w:t>
      </w:r>
      <w:bookmarkEnd w:id="16"/>
    </w:p>
    <w:p w:rsidR="00D42BDB" w:rsidRPr="005C12A1" w:rsidRDefault="004C0A68" w:rsidP="00215859">
      <w:r w:rsidRPr="005C12A1">
        <w:t xml:space="preserve">The availability of accurate and reliable information relating to the position and uncertainty of </w:t>
      </w:r>
      <w:smartTag w:uri="urn:schemas-microsoft-com:office:smarttags" w:element="place">
        <w:smartTag w:uri="urn:schemas-microsoft-com:office:smarttags" w:element="country-region">
          <w:r w:rsidRPr="005C12A1">
            <w:t>Australia</w:t>
          </w:r>
        </w:smartTag>
      </w:smartTag>
      <w:r w:rsidRPr="005C12A1">
        <w:t xml:space="preserve">’s survey control marks is critical to the integrity of the National Geospatial Reference System (NGRS). The purpose of this </w:t>
      </w:r>
      <w:r w:rsidR="00700A83">
        <w:t>G</w:t>
      </w:r>
      <w:r w:rsidR="00870FCF">
        <w:t>uideline</w:t>
      </w:r>
      <w:r w:rsidRPr="005C12A1">
        <w:t xml:space="preserve"> is to </w:t>
      </w:r>
      <w:r w:rsidR="00870FCF">
        <w:t>promote the adoption</w:t>
      </w:r>
      <w:r w:rsidR="00A22B56" w:rsidRPr="005C12A1">
        <w:t xml:space="preserve"> of</w:t>
      </w:r>
      <w:r w:rsidRPr="005C12A1">
        <w:t xml:space="preserve"> </w:t>
      </w:r>
      <w:r w:rsidR="00870FCF">
        <w:t xml:space="preserve">uniform </w:t>
      </w:r>
      <w:r w:rsidRPr="005C12A1">
        <w:t xml:space="preserve">differential levelling procedures to </w:t>
      </w:r>
      <w:r w:rsidR="00870FCF">
        <w:t>achieve the highest level of rigour and integrity in Australia’s survey control mark network</w:t>
      </w:r>
      <w:r w:rsidRPr="005C12A1">
        <w:t>.</w:t>
      </w:r>
    </w:p>
    <w:p w:rsidR="000975D0" w:rsidRPr="005C12A1" w:rsidRDefault="00010B6F" w:rsidP="00215859">
      <w:r w:rsidRPr="005C12A1">
        <w:t>T</w:t>
      </w:r>
      <w:r w:rsidR="00773E8B" w:rsidRPr="005C12A1">
        <w:t>here are two commonly accepted forms of differential levelling</w:t>
      </w:r>
      <w:r w:rsidR="002D4EDB" w:rsidRPr="005C12A1">
        <w:t xml:space="preserve"> –</w:t>
      </w:r>
      <w:r w:rsidR="00773E8B" w:rsidRPr="005C12A1">
        <w:t xml:space="preserve"> differential levelling using a level and level staff, </w:t>
      </w:r>
      <w:r w:rsidR="002D4EDB" w:rsidRPr="005C12A1">
        <w:t>and</w:t>
      </w:r>
      <w:r w:rsidR="00773E8B" w:rsidRPr="005C12A1">
        <w:t xml:space="preserve"> </w:t>
      </w:r>
      <w:r w:rsidR="00003BA0" w:rsidRPr="005C12A1">
        <w:t xml:space="preserve">differential levelling </w:t>
      </w:r>
      <w:r w:rsidR="00283FED" w:rsidRPr="005C12A1">
        <w:t xml:space="preserve">using a </w:t>
      </w:r>
      <w:r w:rsidR="00773E8B" w:rsidRPr="005C12A1">
        <w:t>total station</w:t>
      </w:r>
      <w:r w:rsidR="00673583" w:rsidRPr="005C12A1">
        <w:t xml:space="preserve"> and fixed height prism</w:t>
      </w:r>
      <w:r w:rsidR="00773E8B" w:rsidRPr="005C12A1">
        <w:t>. These terrestrial techniques are regarded as the most reliable</w:t>
      </w:r>
      <w:r w:rsidR="002A23E9" w:rsidRPr="005C12A1">
        <w:t xml:space="preserve"> and</w:t>
      </w:r>
      <w:r w:rsidR="00773E8B" w:rsidRPr="005C12A1">
        <w:t xml:space="preserve"> precise techniques for determining differences in height between survey control marks. </w:t>
      </w:r>
      <w:r w:rsidR="00B569A5" w:rsidRPr="005C12A1">
        <w:t>Where accuracy requirements are less stringent, GNSS techniques may be used</w:t>
      </w:r>
      <w:r w:rsidR="00740289" w:rsidRPr="005C12A1">
        <w:t>.</w:t>
      </w:r>
      <w:r w:rsidR="00773E8B" w:rsidRPr="005C12A1">
        <w:t xml:space="preserve"> </w:t>
      </w:r>
      <w:r w:rsidR="0048241C" w:rsidRPr="005C12A1">
        <w:t xml:space="preserve">For information about GNSS heighting </w:t>
      </w:r>
      <w:r w:rsidR="001272FF" w:rsidRPr="005C12A1">
        <w:t>procedures</w:t>
      </w:r>
      <w:r w:rsidR="0048241C" w:rsidRPr="005C12A1">
        <w:t xml:space="preserve">, please refer to the </w:t>
      </w:r>
      <w:r w:rsidR="0048241C" w:rsidRPr="005C12A1">
        <w:rPr>
          <w:i/>
        </w:rPr>
        <w:t>Guideline for Control Surveys by GNSS.</w:t>
      </w:r>
    </w:p>
    <w:p w:rsidR="00232A3C" w:rsidRPr="005C12A1" w:rsidRDefault="0075619A" w:rsidP="00215859">
      <w:pPr>
        <w:tabs>
          <w:tab w:val="left" w:pos="2700"/>
        </w:tabs>
      </w:pPr>
      <w:r w:rsidRPr="005C12A1">
        <w:t xml:space="preserve">This </w:t>
      </w:r>
      <w:r w:rsidR="00700A83">
        <w:t>G</w:t>
      </w:r>
      <w:r w:rsidRPr="005C12A1">
        <w:t xml:space="preserve">uideline outlines </w:t>
      </w:r>
      <w:r w:rsidR="00737515" w:rsidRPr="005C12A1">
        <w:t>ICSM’s</w:t>
      </w:r>
      <w:r w:rsidRPr="005C12A1">
        <w:t xml:space="preserve"> recommended equipment and procedures for </w:t>
      </w:r>
      <w:r w:rsidR="00AC7F70" w:rsidRPr="005C12A1">
        <w:t>differential levelling</w:t>
      </w:r>
      <w:r w:rsidRPr="005C12A1">
        <w:t xml:space="preserve"> and provides example</w:t>
      </w:r>
      <w:r w:rsidR="00AC7F70" w:rsidRPr="005C12A1">
        <w:t xml:space="preserve">s </w:t>
      </w:r>
      <w:r w:rsidRPr="005C12A1">
        <w:t xml:space="preserve">for </w:t>
      </w:r>
      <w:r w:rsidR="00EB4461" w:rsidRPr="005C12A1">
        <w:t>evaluati</w:t>
      </w:r>
      <w:r w:rsidR="00804CF8" w:rsidRPr="005C12A1">
        <w:t>n</w:t>
      </w:r>
      <w:r w:rsidR="00EB4461" w:rsidRPr="005C12A1">
        <w:t>g</w:t>
      </w:r>
      <w:r w:rsidR="00804CF8" w:rsidRPr="005C12A1">
        <w:t xml:space="preserve"> </w:t>
      </w:r>
      <w:r w:rsidRPr="005C12A1">
        <w:t xml:space="preserve">the </w:t>
      </w:r>
      <w:r w:rsidR="00870FCF">
        <w:t>uncertainty</w:t>
      </w:r>
      <w:r w:rsidRPr="005C12A1">
        <w:t xml:space="preserve"> of </w:t>
      </w:r>
      <w:r w:rsidR="00870FCF">
        <w:t xml:space="preserve">estimated </w:t>
      </w:r>
      <w:r w:rsidR="00462299" w:rsidRPr="005C12A1">
        <w:t xml:space="preserve">height differences between </w:t>
      </w:r>
      <w:r w:rsidRPr="005C12A1">
        <w:t>survey control marks.</w:t>
      </w:r>
      <w:r w:rsidR="00F32887" w:rsidRPr="005C12A1">
        <w:t xml:space="preserve"> </w:t>
      </w:r>
    </w:p>
    <w:p w:rsidR="00627F90" w:rsidRPr="002E27C7" w:rsidRDefault="00E250D2" w:rsidP="00215859">
      <w:pPr>
        <w:pStyle w:val="Heading2"/>
        <w:jc w:val="both"/>
        <w:rPr>
          <w:color w:val="4F6228" w:themeColor="accent3" w:themeShade="80"/>
        </w:rPr>
      </w:pPr>
      <w:bookmarkStart w:id="17" w:name="_Toc358368002"/>
      <w:bookmarkStart w:id="18" w:name="_Toc358565261"/>
      <w:bookmarkStart w:id="19" w:name="_Toc358368003"/>
      <w:bookmarkStart w:id="20" w:name="_Toc358565262"/>
      <w:bookmarkStart w:id="21" w:name="_Toc358368004"/>
      <w:bookmarkStart w:id="22" w:name="_Toc358565263"/>
      <w:bookmarkStart w:id="23" w:name="_Toc358368005"/>
      <w:bookmarkStart w:id="24" w:name="_Toc358565264"/>
      <w:bookmarkStart w:id="25" w:name="_Toc358368006"/>
      <w:bookmarkStart w:id="26" w:name="_Toc358565265"/>
      <w:bookmarkStart w:id="27" w:name="_Toc358368007"/>
      <w:bookmarkStart w:id="28" w:name="_Toc358565266"/>
      <w:bookmarkStart w:id="29" w:name="_Toc358368008"/>
      <w:bookmarkStart w:id="30" w:name="_Toc358565267"/>
      <w:bookmarkStart w:id="31" w:name="_Toc358368009"/>
      <w:bookmarkStart w:id="32" w:name="_Toc358565268"/>
      <w:bookmarkStart w:id="33" w:name="_Ref320620355"/>
      <w:bookmarkStart w:id="34" w:name="_Toc39948897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2E27C7">
        <w:rPr>
          <w:color w:val="4F6228" w:themeColor="accent3" w:themeShade="80"/>
        </w:rPr>
        <w:t xml:space="preserve">Normative </w:t>
      </w:r>
      <w:r w:rsidR="003B3083" w:rsidRPr="002E27C7">
        <w:rPr>
          <w:color w:val="4F6228" w:themeColor="accent3" w:themeShade="80"/>
        </w:rPr>
        <w:t>r</w:t>
      </w:r>
      <w:r w:rsidR="00627F90" w:rsidRPr="002E27C7">
        <w:rPr>
          <w:color w:val="4F6228" w:themeColor="accent3" w:themeShade="80"/>
        </w:rPr>
        <w:t>eferences</w:t>
      </w:r>
      <w:bookmarkEnd w:id="33"/>
      <w:bookmarkEnd w:id="34"/>
    </w:p>
    <w:p w:rsidR="00E84DE6" w:rsidRPr="005C12A1" w:rsidRDefault="00700A83" w:rsidP="00215859">
      <w:pPr>
        <w:tabs>
          <w:tab w:val="left" w:pos="4968"/>
        </w:tabs>
      </w:pPr>
      <w:r>
        <w:t>This G</w:t>
      </w:r>
      <w:r w:rsidR="00E84DE6" w:rsidRPr="005C12A1">
        <w:t xml:space="preserve">uideline should be read in conjunction with the </w:t>
      </w:r>
      <w:r w:rsidR="00E84DE6" w:rsidRPr="005C12A1">
        <w:rPr>
          <w:i/>
        </w:rPr>
        <w:t>Standard for the Australian Survey Control Network – Special Publication 1, Version 2.</w:t>
      </w:r>
      <w:r w:rsidR="00452359">
        <w:rPr>
          <w:i/>
        </w:rPr>
        <w:t>1</w:t>
      </w:r>
      <w:r w:rsidR="00E84DE6" w:rsidRPr="005C12A1">
        <w:t xml:space="preserve"> herein referred to as the Standard.</w:t>
      </w:r>
    </w:p>
    <w:p w:rsidR="00E84DE6" w:rsidRPr="005C12A1" w:rsidRDefault="00E84DE6" w:rsidP="00215859">
      <w:r w:rsidRPr="005C12A1">
        <w:t xml:space="preserve">The following documents may have relevance to the application of this </w:t>
      </w:r>
      <w:r w:rsidR="00700A83">
        <w:t>G</w:t>
      </w:r>
      <w:r w:rsidRPr="005C12A1">
        <w:t>uideline.</w:t>
      </w:r>
    </w:p>
    <w:p w:rsidR="00627F90" w:rsidRPr="005C12A1" w:rsidRDefault="00627F90" w:rsidP="00627F90">
      <w:r w:rsidRPr="005C12A1">
        <w:rPr>
          <w:b/>
        </w:rPr>
        <w:t>International Guidelines</w:t>
      </w:r>
      <w:r w:rsidRPr="005C12A1">
        <w:t xml:space="preserve"> </w:t>
      </w:r>
    </w:p>
    <w:p w:rsidR="00627F90" w:rsidRPr="005C12A1" w:rsidRDefault="00627F90" w:rsidP="00A30C8B">
      <w:pPr>
        <w:pStyle w:val="Bibliographyreference"/>
        <w:ind w:left="540" w:hanging="540"/>
      </w:pPr>
      <w:r w:rsidRPr="005C12A1">
        <w:t xml:space="preserve">JCGM 100:2008, </w:t>
      </w:r>
      <w:r w:rsidRPr="005C12A1">
        <w:rPr>
          <w:i/>
        </w:rPr>
        <w:t>Evaluation of Measurement Data – Guide to the Expression of Uncertainty in Measurement</w:t>
      </w:r>
      <w:r w:rsidRPr="005C12A1">
        <w:t xml:space="preserve">, Joint Committee for Guides in Metrology – Bureau International des </w:t>
      </w:r>
      <w:proofErr w:type="spellStart"/>
      <w:r w:rsidRPr="005C12A1">
        <w:t>Poids</w:t>
      </w:r>
      <w:proofErr w:type="spellEnd"/>
      <w:r w:rsidRPr="005C12A1">
        <w:t xml:space="preserve"> et </w:t>
      </w:r>
      <w:proofErr w:type="spellStart"/>
      <w:r w:rsidRPr="005C12A1">
        <w:t>Mesures</w:t>
      </w:r>
      <w:proofErr w:type="spellEnd"/>
      <w:r w:rsidRPr="005C12A1">
        <w:t>, Paris, France.</w:t>
      </w:r>
    </w:p>
    <w:p w:rsidR="008D7AAD" w:rsidRPr="005C12A1" w:rsidRDefault="008D7AAD" w:rsidP="008D7AAD">
      <w:r w:rsidRPr="005C12A1">
        <w:rPr>
          <w:b/>
        </w:rPr>
        <w:t>SP1 Standard</w:t>
      </w:r>
    </w:p>
    <w:p w:rsidR="008D7AAD" w:rsidRPr="005C12A1" w:rsidRDefault="008D7AAD" w:rsidP="00A30C8B">
      <w:pPr>
        <w:pStyle w:val="Bibliographyreference"/>
        <w:ind w:left="540" w:hanging="540"/>
      </w:pPr>
      <w:proofErr w:type="gramStart"/>
      <w:r w:rsidRPr="005C12A1">
        <w:t>ICSM (</w:t>
      </w:r>
      <w:r w:rsidR="00A7714C">
        <w:t>2014</w:t>
      </w:r>
      <w:r w:rsidRPr="005C12A1">
        <w:t xml:space="preserve">), </w:t>
      </w:r>
      <w:r w:rsidRPr="005C12A1">
        <w:rPr>
          <w:i/>
        </w:rPr>
        <w:t>Standard for the Australian Survey Control Network – Special Publication 1</w:t>
      </w:r>
      <w:r w:rsidRPr="005C12A1">
        <w:t xml:space="preserve">, </w:t>
      </w:r>
      <w:r w:rsidR="00A7714C">
        <w:rPr>
          <w:i/>
        </w:rPr>
        <w:t>Version 2.1</w:t>
      </w:r>
      <w:r w:rsidR="00CC3CDA" w:rsidRPr="005C12A1">
        <w:rPr>
          <w:i/>
        </w:rPr>
        <w:t>,</w:t>
      </w:r>
      <w:r w:rsidR="00CC3CDA" w:rsidRPr="005C12A1">
        <w:t xml:space="preserve"> </w:t>
      </w:r>
      <w:r w:rsidRPr="005C12A1">
        <w:t>Intergovernmental Committee on Surveying and Mapping, Canberra, Australia</w:t>
      </w:r>
      <w:r w:rsidR="00280917" w:rsidRPr="005C12A1">
        <w:t>.</w:t>
      </w:r>
      <w:proofErr w:type="gramEnd"/>
    </w:p>
    <w:p w:rsidR="00D61B08" w:rsidRPr="005C12A1" w:rsidRDefault="00D61B08" w:rsidP="00D61B08">
      <w:pPr>
        <w:rPr>
          <w:b/>
        </w:rPr>
      </w:pPr>
      <w:r w:rsidRPr="005C12A1">
        <w:rPr>
          <w:b/>
        </w:rPr>
        <w:t>SP1 Guidelines</w:t>
      </w:r>
    </w:p>
    <w:p w:rsidR="00D61B08" w:rsidRPr="005C12A1" w:rsidRDefault="00D61B08" w:rsidP="00A30C8B">
      <w:pPr>
        <w:pStyle w:val="Bibliographyreference"/>
        <w:ind w:left="540" w:hanging="540"/>
      </w:pPr>
      <w:proofErr w:type="gramStart"/>
      <w:r w:rsidRPr="005C12A1">
        <w:t>ICSM (201</w:t>
      </w:r>
      <w:r w:rsidR="00A7714C">
        <w:t>4</w:t>
      </w:r>
      <w:r w:rsidRPr="005C12A1">
        <w:t xml:space="preserve">), </w:t>
      </w:r>
      <w:r w:rsidR="000D4BC0" w:rsidRPr="005C12A1">
        <w:rPr>
          <w:i/>
        </w:rPr>
        <w:t>Guideline for the Adjustment</w:t>
      </w:r>
      <w:r w:rsidR="002E65A3" w:rsidRPr="005C12A1">
        <w:rPr>
          <w:i/>
        </w:rPr>
        <w:t xml:space="preserve"> and</w:t>
      </w:r>
      <w:r w:rsidR="000D4BC0" w:rsidRPr="005C12A1">
        <w:rPr>
          <w:i/>
        </w:rPr>
        <w:t xml:space="preserve"> </w:t>
      </w:r>
      <w:r w:rsidR="0046170F" w:rsidRPr="005C12A1">
        <w:rPr>
          <w:i/>
        </w:rPr>
        <w:t xml:space="preserve">Evaluation </w:t>
      </w:r>
      <w:r w:rsidR="000D4BC0" w:rsidRPr="005C12A1">
        <w:rPr>
          <w:i/>
        </w:rPr>
        <w:t>of Survey Control</w:t>
      </w:r>
      <w:r w:rsidRPr="005C12A1">
        <w:t xml:space="preserve">, </w:t>
      </w:r>
      <w:r w:rsidR="004C22E5">
        <w:t xml:space="preserve">Version 2.1, </w:t>
      </w:r>
      <w:r w:rsidRPr="005C12A1">
        <w:t>Intergovernmental Committee on Surveying and Mapping, Canberra, Australia</w:t>
      </w:r>
      <w:r w:rsidR="00280917" w:rsidRPr="005C12A1">
        <w:t>.</w:t>
      </w:r>
      <w:proofErr w:type="gramEnd"/>
    </w:p>
    <w:p w:rsidR="000D4BC0" w:rsidRPr="005C12A1" w:rsidRDefault="000D4BC0" w:rsidP="00A30C8B">
      <w:pPr>
        <w:pStyle w:val="Bibliographyreference"/>
        <w:ind w:left="540" w:hanging="540"/>
      </w:pPr>
      <w:r w:rsidRPr="005C12A1">
        <w:t>ICSM (201</w:t>
      </w:r>
      <w:r w:rsidR="00A7714C">
        <w:t>4</w:t>
      </w:r>
      <w:r w:rsidRPr="005C12A1">
        <w:t xml:space="preserve">), </w:t>
      </w:r>
      <w:r w:rsidRPr="005C12A1">
        <w:rPr>
          <w:i/>
        </w:rPr>
        <w:t>Guideline for Control Surveys by GNSS</w:t>
      </w:r>
      <w:r w:rsidRPr="005C12A1">
        <w:t xml:space="preserve">, </w:t>
      </w:r>
      <w:r w:rsidR="004C22E5">
        <w:t xml:space="preserve">Version 2.1, </w:t>
      </w:r>
      <w:r w:rsidRPr="005C12A1">
        <w:t>Intergovernmental Committee on Surveying and Mapping, Canberra, Australia</w:t>
      </w:r>
      <w:r w:rsidR="00280917" w:rsidRPr="005C12A1">
        <w:t>.</w:t>
      </w:r>
    </w:p>
    <w:p w:rsidR="00D61B08" w:rsidRPr="005C12A1" w:rsidRDefault="00D61B08" w:rsidP="00A30C8B">
      <w:pPr>
        <w:pStyle w:val="Bibliographyreference"/>
        <w:ind w:left="540" w:hanging="540"/>
      </w:pPr>
      <w:proofErr w:type="gramStart"/>
      <w:r w:rsidRPr="005C12A1">
        <w:t>ICSM (201</w:t>
      </w:r>
      <w:r w:rsidR="00A7714C">
        <w:t>4</w:t>
      </w:r>
      <w:r w:rsidRPr="005C12A1">
        <w:t xml:space="preserve">), </w:t>
      </w:r>
      <w:r w:rsidRPr="005C12A1">
        <w:rPr>
          <w:i/>
        </w:rPr>
        <w:t xml:space="preserve">Guideline for the Installation and </w:t>
      </w:r>
      <w:r w:rsidR="002E65A3" w:rsidRPr="005C12A1">
        <w:rPr>
          <w:i/>
        </w:rPr>
        <w:t>Documentation</w:t>
      </w:r>
      <w:r w:rsidRPr="005C12A1">
        <w:rPr>
          <w:i/>
        </w:rPr>
        <w:t xml:space="preserve"> of Survey Control Marks</w:t>
      </w:r>
      <w:r w:rsidRPr="005C12A1">
        <w:t xml:space="preserve">, </w:t>
      </w:r>
      <w:r w:rsidR="004C22E5">
        <w:t xml:space="preserve">Version 2.1, </w:t>
      </w:r>
      <w:r w:rsidRPr="005C12A1">
        <w:t>Intergovernmental Committee on Surveying and Mapping, Canberra, Australia</w:t>
      </w:r>
      <w:r w:rsidR="00280917" w:rsidRPr="005C12A1">
        <w:t>.</w:t>
      </w:r>
      <w:proofErr w:type="gramEnd"/>
    </w:p>
    <w:p w:rsidR="00627F90" w:rsidRPr="005C12A1" w:rsidRDefault="00627F90" w:rsidP="00627F90">
      <w:r w:rsidRPr="005C12A1">
        <w:rPr>
          <w:b/>
        </w:rPr>
        <w:t>ICSM Technical Manuals</w:t>
      </w:r>
      <w:r w:rsidRPr="005C12A1">
        <w:t xml:space="preserve"> </w:t>
      </w:r>
    </w:p>
    <w:p w:rsidR="00627F90" w:rsidRPr="005C12A1" w:rsidRDefault="00627F90" w:rsidP="00A30C8B">
      <w:pPr>
        <w:pStyle w:val="Bibliographyreference"/>
        <w:ind w:left="540" w:hanging="540"/>
      </w:pPr>
      <w:r w:rsidRPr="005C12A1">
        <w:t xml:space="preserve">ICSM (2006), </w:t>
      </w:r>
      <w:r w:rsidRPr="005C12A1">
        <w:rPr>
          <w:i/>
        </w:rPr>
        <w:t>Geocentric Datum of Australia Technical Manual,</w:t>
      </w:r>
      <w:r w:rsidRPr="005C12A1">
        <w:t xml:space="preserve"> Intergovernmental Committee on Surveying and Mapping, Canberra, Australia</w:t>
      </w:r>
      <w:r w:rsidR="00280917" w:rsidRPr="005C12A1">
        <w:t>.</w:t>
      </w:r>
    </w:p>
    <w:p w:rsidR="00627F90" w:rsidRPr="005C12A1" w:rsidRDefault="00627F90" w:rsidP="00A30C8B">
      <w:pPr>
        <w:pStyle w:val="Bibliographyreference"/>
        <w:ind w:left="540" w:hanging="540"/>
      </w:pPr>
      <w:r w:rsidRPr="005C12A1">
        <w:t xml:space="preserve">ICSM (2007), </w:t>
      </w:r>
      <w:r w:rsidRPr="005C12A1">
        <w:rPr>
          <w:i/>
        </w:rPr>
        <w:t xml:space="preserve">Australian Tides Manual – Special Publication 9, </w:t>
      </w:r>
      <w:r w:rsidRPr="005C12A1">
        <w:t>Intergovernmental Committee on Surveying and Mapping, Wollongong, Australia</w:t>
      </w:r>
      <w:r w:rsidR="00280917" w:rsidRPr="005C12A1">
        <w:t>.</w:t>
      </w:r>
    </w:p>
    <w:p w:rsidR="007B3587" w:rsidRPr="005C12A1" w:rsidRDefault="007B3587" w:rsidP="00A30C8B">
      <w:pPr>
        <w:pStyle w:val="Bibliographyreference"/>
        <w:ind w:left="540" w:hanging="540"/>
      </w:pPr>
    </w:p>
    <w:p w:rsidR="007B3587" w:rsidRPr="005C12A1" w:rsidRDefault="007B3587" w:rsidP="00A30C8B">
      <w:pPr>
        <w:pStyle w:val="Bibliographyreference"/>
        <w:ind w:left="540" w:hanging="540"/>
      </w:pPr>
    </w:p>
    <w:p w:rsidR="00F32C9D" w:rsidRPr="002E27C7" w:rsidRDefault="00F32C9D" w:rsidP="00B76596">
      <w:pPr>
        <w:pStyle w:val="Heading1"/>
        <w:tabs>
          <w:tab w:val="clear" w:pos="889"/>
          <w:tab w:val="num" w:pos="709"/>
        </w:tabs>
        <w:ind w:left="709"/>
        <w:rPr>
          <w:color w:val="4F6228" w:themeColor="accent3" w:themeShade="80"/>
        </w:rPr>
      </w:pPr>
      <w:bookmarkStart w:id="35" w:name="_Toc169590229"/>
      <w:bookmarkStart w:id="36" w:name="_Toc169590275"/>
      <w:bookmarkStart w:id="37" w:name="_Toc169593550"/>
      <w:bookmarkStart w:id="38" w:name="_Toc169590231"/>
      <w:bookmarkStart w:id="39" w:name="_Toc169590277"/>
      <w:bookmarkStart w:id="40" w:name="_Toc169593552"/>
      <w:bookmarkStart w:id="41" w:name="_Toc169590232"/>
      <w:bookmarkStart w:id="42" w:name="_Toc169590278"/>
      <w:bookmarkStart w:id="43" w:name="_Toc169593553"/>
      <w:bookmarkStart w:id="44" w:name="_Toc169590233"/>
      <w:bookmarkStart w:id="45" w:name="_Toc169590279"/>
      <w:bookmarkStart w:id="46" w:name="_Toc169593554"/>
      <w:bookmarkStart w:id="47" w:name="_Toc169590234"/>
      <w:bookmarkStart w:id="48" w:name="_Toc169590280"/>
      <w:bookmarkStart w:id="49" w:name="_Toc169593555"/>
      <w:bookmarkStart w:id="50" w:name="_Toc169590236"/>
      <w:bookmarkStart w:id="51" w:name="_Toc169590282"/>
      <w:bookmarkStart w:id="52" w:name="_Toc169593557"/>
      <w:bookmarkStart w:id="53" w:name="_Ref260385393"/>
      <w:bookmarkStart w:id="54" w:name="_Toc399488979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2E27C7">
        <w:rPr>
          <w:color w:val="4F6228" w:themeColor="accent3" w:themeShade="80"/>
        </w:rPr>
        <w:t>Connection to datum</w:t>
      </w:r>
      <w:bookmarkEnd w:id="53"/>
      <w:bookmarkEnd w:id="54"/>
    </w:p>
    <w:p w:rsidR="00F32C9D" w:rsidRPr="005C12A1" w:rsidRDefault="002E65A3" w:rsidP="00215859">
      <w:pPr>
        <w:tabs>
          <w:tab w:val="left" w:pos="2700"/>
        </w:tabs>
        <w:jc w:val="left"/>
      </w:pPr>
      <w:r w:rsidRPr="005C12A1">
        <w:t>S</w:t>
      </w:r>
      <w:r w:rsidR="00015E17" w:rsidRPr="005C12A1">
        <w:t xml:space="preserve">urvey control marks </w:t>
      </w:r>
      <w:r w:rsidR="00954C75">
        <w:t>for</w:t>
      </w:r>
      <w:r w:rsidR="00015E17" w:rsidRPr="005C12A1">
        <w:t xml:space="preserve"> Australia’s NGRS shall be coordinated relative to the </w:t>
      </w:r>
      <w:r w:rsidRPr="005C12A1">
        <w:t xml:space="preserve">height </w:t>
      </w:r>
      <w:r w:rsidR="00015E17" w:rsidRPr="005C12A1">
        <w:t xml:space="preserve">datums set out in Section </w:t>
      </w:r>
      <w:r w:rsidR="00685D2D" w:rsidRPr="005C12A1">
        <w:t>2</w:t>
      </w:r>
      <w:r w:rsidR="00015E17" w:rsidRPr="005C12A1">
        <w:t xml:space="preserve"> of the </w:t>
      </w:r>
      <w:r w:rsidR="00673583" w:rsidRPr="005C12A1">
        <w:t xml:space="preserve">SP1 </w:t>
      </w:r>
      <w:r w:rsidR="00015E17" w:rsidRPr="005C12A1">
        <w:t>Standard</w:t>
      </w:r>
      <w:r w:rsidR="002531C6" w:rsidRPr="005C12A1">
        <w:t>.</w:t>
      </w:r>
    </w:p>
    <w:p w:rsidR="007B3587" w:rsidRPr="005C12A1" w:rsidRDefault="007B3587" w:rsidP="00F32C9D">
      <w:pPr>
        <w:tabs>
          <w:tab w:val="left" w:pos="2700"/>
        </w:tabs>
      </w:pPr>
    </w:p>
    <w:p w:rsidR="009B5813" w:rsidRPr="002E27C7" w:rsidRDefault="007B3587" w:rsidP="00B76596">
      <w:pPr>
        <w:pStyle w:val="Heading1"/>
        <w:tabs>
          <w:tab w:val="clear" w:pos="889"/>
          <w:tab w:val="num" w:pos="709"/>
        </w:tabs>
        <w:ind w:left="709"/>
        <w:rPr>
          <w:color w:val="4F6228" w:themeColor="accent3" w:themeShade="80"/>
        </w:rPr>
      </w:pPr>
      <w:bookmarkStart w:id="55" w:name="_Ref301361424"/>
      <w:bookmarkStart w:id="56" w:name="_Toc320544316"/>
      <w:r w:rsidRPr="005C12A1">
        <w:rPr>
          <w:color w:val="auto"/>
        </w:rPr>
        <w:br w:type="column"/>
      </w:r>
      <w:bookmarkStart w:id="57" w:name="_Toc399488980"/>
      <w:r w:rsidR="00015E17" w:rsidRPr="002E27C7">
        <w:rPr>
          <w:color w:val="4F6228" w:themeColor="accent3" w:themeShade="80"/>
        </w:rPr>
        <w:t>Levelling</w:t>
      </w:r>
      <w:r w:rsidR="009B5813" w:rsidRPr="002E27C7">
        <w:rPr>
          <w:color w:val="4F6228" w:themeColor="accent3" w:themeShade="80"/>
        </w:rPr>
        <w:t xml:space="preserve"> </w:t>
      </w:r>
      <w:bookmarkEnd w:id="55"/>
      <w:bookmarkEnd w:id="56"/>
      <w:r w:rsidR="00700A83">
        <w:rPr>
          <w:color w:val="4F6228" w:themeColor="accent3" w:themeShade="80"/>
        </w:rPr>
        <w:t>G</w:t>
      </w:r>
      <w:r w:rsidR="00337D48" w:rsidRPr="002E27C7">
        <w:rPr>
          <w:color w:val="4F6228" w:themeColor="accent3" w:themeShade="80"/>
        </w:rPr>
        <w:t>uidelines</w:t>
      </w:r>
      <w:bookmarkEnd w:id="57"/>
    </w:p>
    <w:p w:rsidR="00015E17" w:rsidRPr="005C12A1" w:rsidRDefault="00700A83" w:rsidP="00215859">
      <w:pPr>
        <w:tabs>
          <w:tab w:val="left" w:pos="2700"/>
        </w:tabs>
      </w:pPr>
      <w:r>
        <w:t>The following G</w:t>
      </w:r>
      <w:r w:rsidR="00015E17" w:rsidRPr="005C12A1">
        <w:t>uidelines for the observation of differences in height between survey control marks</w:t>
      </w:r>
      <w:r w:rsidR="00D42BDB" w:rsidRPr="005C12A1">
        <w:t xml:space="preserve"> are in three generalised groupings of </w:t>
      </w:r>
      <w:r w:rsidR="00A87389" w:rsidRPr="005C12A1">
        <w:t>survey quality</w:t>
      </w:r>
      <w:r w:rsidR="00D42BDB" w:rsidRPr="005C12A1">
        <w:t xml:space="preserve"> based on </w:t>
      </w:r>
      <w:r w:rsidR="00A74326" w:rsidRPr="005C12A1">
        <w:t xml:space="preserve">allowable </w:t>
      </w:r>
      <w:r w:rsidR="00D42BDB" w:rsidRPr="005C12A1">
        <w:t>survey misclose</w:t>
      </w:r>
      <w:r w:rsidR="00015E17" w:rsidRPr="005C12A1">
        <w:t>.</w:t>
      </w:r>
      <w:r w:rsidR="00D42BDB" w:rsidRPr="005C12A1">
        <w:t xml:space="preserve"> </w:t>
      </w:r>
      <w:r w:rsidR="0025166F" w:rsidRPr="005C12A1">
        <w:t xml:space="preserve">Survey specifications may adopt any value for </w:t>
      </w:r>
      <w:r w:rsidR="00845AB4" w:rsidRPr="005C12A1">
        <w:t>an allowable survey misclose</w:t>
      </w:r>
      <w:r w:rsidR="0025166F" w:rsidRPr="005C12A1">
        <w:t xml:space="preserve"> depending on the requirements of the project</w:t>
      </w:r>
      <w:r w:rsidR="00DC152A" w:rsidRPr="005C12A1">
        <w:t xml:space="preserve">, however when connecting to datum, the </w:t>
      </w:r>
      <w:r w:rsidR="00845AB4" w:rsidRPr="005C12A1">
        <w:t>quality</w:t>
      </w:r>
      <w:r w:rsidR="00DC152A" w:rsidRPr="005C12A1">
        <w:t xml:space="preserve"> of the </w:t>
      </w:r>
      <w:r w:rsidR="00102004" w:rsidRPr="005C12A1">
        <w:t xml:space="preserve">heights that are to be used as constraints </w:t>
      </w:r>
      <w:r w:rsidR="00DC152A" w:rsidRPr="005C12A1">
        <w:t xml:space="preserve">will dictate the </w:t>
      </w:r>
      <w:r w:rsidR="00845AB4" w:rsidRPr="005C12A1">
        <w:t xml:space="preserve">quality of the </w:t>
      </w:r>
      <w:r w:rsidR="00DC152A" w:rsidRPr="005C12A1">
        <w:t xml:space="preserve">resultant </w:t>
      </w:r>
      <w:r w:rsidR="00845AB4" w:rsidRPr="005C12A1">
        <w:t>heights</w:t>
      </w:r>
      <w:r w:rsidR="00DC152A" w:rsidRPr="005C12A1">
        <w:t xml:space="preserve"> (i</w:t>
      </w:r>
      <w:r w:rsidR="003C7CDB" w:rsidRPr="005C12A1">
        <w:t>.</w:t>
      </w:r>
      <w:r w:rsidR="00DC152A" w:rsidRPr="005C12A1">
        <w:t>e</w:t>
      </w:r>
      <w:r w:rsidR="003C7CDB" w:rsidRPr="005C12A1">
        <w:t>.</w:t>
      </w:r>
      <w:r w:rsidR="00DC152A" w:rsidRPr="005C12A1">
        <w:t xml:space="preserve"> no better than the </w:t>
      </w:r>
      <w:r w:rsidR="00845AB4" w:rsidRPr="005C12A1">
        <w:t xml:space="preserve">quality </w:t>
      </w:r>
      <w:r w:rsidR="00DC152A" w:rsidRPr="005C12A1">
        <w:t xml:space="preserve">of the </w:t>
      </w:r>
      <w:r w:rsidR="003C7CDB" w:rsidRPr="005C12A1">
        <w:t>constrained heights</w:t>
      </w:r>
      <w:r w:rsidR="00DC152A" w:rsidRPr="005C12A1">
        <w:t xml:space="preserve">). </w:t>
      </w:r>
      <w:r w:rsidR="00015E17" w:rsidRPr="005C12A1">
        <w:t xml:space="preserve"> </w:t>
      </w:r>
    </w:p>
    <w:p w:rsidR="00C13AFB" w:rsidRPr="002E27C7" w:rsidRDefault="00C13AFB" w:rsidP="00215859">
      <w:pPr>
        <w:pStyle w:val="Heading2"/>
        <w:jc w:val="both"/>
        <w:rPr>
          <w:color w:val="4F6228" w:themeColor="accent3" w:themeShade="80"/>
        </w:rPr>
      </w:pPr>
      <w:bookmarkStart w:id="58" w:name="_Toc320534373"/>
      <w:bookmarkStart w:id="59" w:name="_Toc399488981"/>
      <w:r w:rsidRPr="002E27C7">
        <w:rPr>
          <w:color w:val="4F6228" w:themeColor="accent3" w:themeShade="80"/>
        </w:rPr>
        <w:t>Differential levelling</w:t>
      </w:r>
      <w:bookmarkEnd w:id="58"/>
      <w:bookmarkEnd w:id="59"/>
    </w:p>
    <w:p w:rsidR="00C13AFB" w:rsidRPr="005C12A1" w:rsidRDefault="00CA7869" w:rsidP="00215859">
      <w:r w:rsidRPr="005C12A1">
        <w:t>D</w:t>
      </w:r>
      <w:r w:rsidR="00C13AFB" w:rsidRPr="005C12A1">
        <w:t>ifferential levelling with an optical or digital level instrument to a graduated level staff is the conventional method of determining the differences in height between survey control marks</w:t>
      </w:r>
      <w:r w:rsidR="00EF2F54" w:rsidRPr="005C12A1">
        <w:t xml:space="preserve">. </w:t>
      </w:r>
    </w:p>
    <w:p w:rsidR="00592288" w:rsidRPr="002E27C7" w:rsidRDefault="00592288" w:rsidP="00215859">
      <w:pPr>
        <w:pStyle w:val="Heading3"/>
        <w:jc w:val="both"/>
        <w:rPr>
          <w:color w:val="4F6228" w:themeColor="accent3" w:themeShade="80"/>
        </w:rPr>
      </w:pPr>
      <w:bookmarkStart w:id="60" w:name="_Toc399488982"/>
      <w:bookmarkStart w:id="61" w:name="_Toc320534374"/>
      <w:r w:rsidRPr="002E27C7">
        <w:rPr>
          <w:color w:val="4F6228" w:themeColor="accent3" w:themeShade="80"/>
        </w:rPr>
        <w:t>Differential levelling equipment</w:t>
      </w:r>
      <w:bookmarkEnd w:id="60"/>
    </w:p>
    <w:bookmarkEnd w:id="61"/>
    <w:p w:rsidR="002307A5" w:rsidRPr="005C12A1" w:rsidRDefault="00A564B2" w:rsidP="00215859">
      <w:r w:rsidRPr="005C12A1">
        <w:fldChar w:fldCharType="begin"/>
      </w:r>
      <w:r w:rsidRPr="005C12A1">
        <w:instrText xml:space="preserve"> REF _Ref363023884 \h </w:instrText>
      </w:r>
      <w:r w:rsidR="00CC3CDA" w:rsidRPr="005C12A1">
        <w:instrText xml:space="preserve"> \* MERGEFORMAT </w:instrText>
      </w:r>
      <w:r w:rsidRPr="005C12A1">
        <w:fldChar w:fldCharType="separate"/>
      </w:r>
      <w:r w:rsidR="00F256F5" w:rsidRPr="005C12A1">
        <w:t xml:space="preserve">Table </w:t>
      </w:r>
      <w:r w:rsidR="00F256F5">
        <w:rPr>
          <w:noProof/>
        </w:rPr>
        <w:t>1</w:t>
      </w:r>
      <w:r w:rsidRPr="005C12A1">
        <w:fldChar w:fldCharType="end"/>
      </w:r>
      <w:r w:rsidR="006140D8" w:rsidRPr="005C12A1">
        <w:t xml:space="preserve"> lists the recommended equipment requirements to </w:t>
      </w:r>
      <w:r w:rsidR="00BA2724" w:rsidRPr="005C12A1">
        <w:t>achieve various levels of</w:t>
      </w:r>
      <w:r w:rsidR="00B30761" w:rsidRPr="005C12A1">
        <w:t xml:space="preserve"> </w:t>
      </w:r>
      <w:r w:rsidR="006140D8" w:rsidRPr="005C12A1">
        <w:t xml:space="preserve">survey </w:t>
      </w:r>
      <w:r w:rsidR="00F63234" w:rsidRPr="005C12A1">
        <w:t>misclose</w:t>
      </w:r>
      <w:r w:rsidR="006140D8" w:rsidRPr="005C12A1">
        <w:t>.</w:t>
      </w:r>
    </w:p>
    <w:p w:rsidR="00A564B2" w:rsidRPr="005C12A1" w:rsidRDefault="00A564B2" w:rsidP="00A564B2">
      <w:pPr>
        <w:pStyle w:val="Caption"/>
        <w:keepNext/>
      </w:pPr>
      <w:bookmarkStart w:id="62" w:name="_Ref363023884"/>
      <w:bookmarkStart w:id="63" w:name="_Toc399488990"/>
      <w:r w:rsidRPr="005C12A1">
        <w:t xml:space="preserve">Table </w:t>
      </w:r>
      <w:r w:rsidR="00882D6D">
        <w:fldChar w:fldCharType="begin"/>
      </w:r>
      <w:r w:rsidR="00882D6D">
        <w:instrText xml:space="preserve"> SEQ Table \* ARABIC </w:instrText>
      </w:r>
      <w:r w:rsidR="00882D6D">
        <w:fldChar w:fldCharType="separate"/>
      </w:r>
      <w:r w:rsidR="00F256F5">
        <w:rPr>
          <w:noProof/>
        </w:rPr>
        <w:t>1</w:t>
      </w:r>
      <w:r w:rsidR="00882D6D">
        <w:rPr>
          <w:noProof/>
        </w:rPr>
        <w:fldChar w:fldCharType="end"/>
      </w:r>
      <w:bookmarkEnd w:id="62"/>
      <w:r w:rsidRPr="005C12A1">
        <w:t xml:space="preserve">: Differential levelling equipment </w:t>
      </w:r>
      <w:r w:rsidR="00CC3CDA" w:rsidRPr="005C12A1">
        <w:t>recommendations</w:t>
      </w:r>
      <w:r w:rsidR="007E2CA3">
        <w:t>, where k = distance in kilometres</w:t>
      </w:r>
      <w:bookmarkEnd w:id="63"/>
    </w:p>
    <w:tbl>
      <w:tblPr>
        <w:tblStyle w:val="TableContemporary"/>
        <w:tblW w:w="8742" w:type="dxa"/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5C12A1" w:rsidRPr="00632EC9" w:rsidTr="00FF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8"/>
        </w:trPr>
        <w:tc>
          <w:tcPr>
            <w:tcW w:w="8742" w:type="dxa"/>
            <w:gridSpan w:val="3"/>
          </w:tcPr>
          <w:p w:rsidR="00A30C8B" w:rsidRPr="00632EC9" w:rsidRDefault="00A87389" w:rsidP="00D23E04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Quality</w:t>
            </w:r>
            <w:r w:rsidR="00F6323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- Maximum allowable misclose (</w:t>
            </w:r>
            <w:r w:rsidR="00504FC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between </w:t>
            </w:r>
            <w:r w:rsidR="00F6323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forward and back) </w:t>
            </w:r>
          </w:p>
          <w:p w:rsidR="00A87389" w:rsidRPr="00632EC9" w:rsidRDefault="00A87389" w:rsidP="00D23E04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914" w:type="dxa"/>
          </w:tcPr>
          <w:p w:rsidR="00F51DA6" w:rsidRPr="00632EC9" w:rsidRDefault="00F51DA6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2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="007E2CA3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mm *</w:t>
            </w:r>
            <w:r w:rsidR="006473BC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="007E2CA3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F51DA6" w:rsidRPr="00632EC9" w:rsidRDefault="00F51DA6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6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="007E2CA3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mm *</w:t>
            </w:r>
            <w:r w:rsidR="006473BC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="007E2CA3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F51DA6" w:rsidRPr="00632EC9" w:rsidRDefault="00F51DA6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12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mm</w:t>
            </w:r>
            <w:r w:rsidR="007E2CA3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*</w:t>
            </w:r>
            <w:r w:rsidR="006473BC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="007E2CA3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6140D8" w:rsidRPr="00632EC9" w:rsidRDefault="00CA2A59" w:rsidP="00CA2A59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I</w:t>
            </w:r>
            <w:r w:rsidR="006140D8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nstrument: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8"/>
        </w:trPr>
        <w:tc>
          <w:tcPr>
            <w:tcW w:w="2914" w:type="dxa"/>
          </w:tcPr>
          <w:p w:rsidR="006140D8" w:rsidRPr="00632EC9" w:rsidRDefault="006140D8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0.4 mm/km digital level</w:t>
            </w:r>
          </w:p>
        </w:tc>
        <w:tc>
          <w:tcPr>
            <w:tcW w:w="2914" w:type="dxa"/>
          </w:tcPr>
          <w:p w:rsidR="006140D8" w:rsidRPr="00632EC9" w:rsidRDefault="006140D8" w:rsidP="009D1A25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1 mm/km digital level</w:t>
            </w:r>
          </w:p>
        </w:tc>
        <w:tc>
          <w:tcPr>
            <w:tcW w:w="2914" w:type="dxa"/>
          </w:tcPr>
          <w:p w:rsidR="006140D8" w:rsidRPr="00632EC9" w:rsidRDefault="006140D8" w:rsidP="00CA2A59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 xml:space="preserve">2 mm/km optical  </w:t>
            </w:r>
            <w:r w:rsidR="00CA2A59" w:rsidRPr="00632EC9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digital level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3"/>
        </w:trPr>
        <w:tc>
          <w:tcPr>
            <w:tcW w:w="8742" w:type="dxa"/>
            <w:gridSpan w:val="3"/>
          </w:tcPr>
          <w:p w:rsidR="006140D8" w:rsidRPr="00632EC9" w:rsidRDefault="006140D8" w:rsidP="009B7687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Vertical collimation test: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7"/>
        </w:trPr>
        <w:tc>
          <w:tcPr>
            <w:tcW w:w="2914" w:type="dxa"/>
          </w:tcPr>
          <w:p w:rsidR="006140D8" w:rsidRPr="00632EC9" w:rsidRDefault="006140D8" w:rsidP="009B7687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daily</w:t>
            </w:r>
          </w:p>
        </w:tc>
        <w:tc>
          <w:tcPr>
            <w:tcW w:w="2914" w:type="dxa"/>
          </w:tcPr>
          <w:p w:rsidR="006140D8" w:rsidRPr="00632EC9" w:rsidRDefault="006140D8" w:rsidP="009B7687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daily</w:t>
            </w:r>
          </w:p>
        </w:tc>
        <w:tc>
          <w:tcPr>
            <w:tcW w:w="2914" w:type="dxa"/>
          </w:tcPr>
          <w:p w:rsidR="006140D8" w:rsidRPr="00632EC9" w:rsidRDefault="006140D8" w:rsidP="009B7687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start of project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6140D8" w:rsidRPr="00632EC9" w:rsidRDefault="006140D8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Graduated (or coded) staff: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41"/>
        </w:trPr>
        <w:tc>
          <w:tcPr>
            <w:tcW w:w="2914" w:type="dxa"/>
            <w:tcBorders>
              <w:bottom w:val="single" w:sz="18" w:space="0" w:color="FFFFFF"/>
            </w:tcBorders>
          </w:tcPr>
          <w:p w:rsidR="006140D8" w:rsidRPr="00632EC9" w:rsidRDefault="009B7687" w:rsidP="009B7687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Calibrated, r</w:t>
            </w:r>
            <w:r w:rsidR="006140D8" w:rsidRPr="00632EC9">
              <w:rPr>
                <w:rFonts w:asciiTheme="minorHAnsi" w:hAnsiTheme="minorHAnsi"/>
                <w:sz w:val="22"/>
                <w:szCs w:val="22"/>
              </w:rPr>
              <w:t>igid invar staff, (+ bi-pole support)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6140D8" w:rsidRPr="00632EC9" w:rsidRDefault="009D1A25" w:rsidP="009D1A25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W</w:t>
            </w:r>
            <w:r w:rsidR="006140D8" w:rsidRPr="00632EC9">
              <w:rPr>
                <w:rFonts w:asciiTheme="minorHAnsi" w:hAnsiTheme="minorHAnsi"/>
                <w:sz w:val="22"/>
                <w:szCs w:val="22"/>
              </w:rPr>
              <w:t>ood or fibreglass staff, calibrated within 5 years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6140D8" w:rsidRPr="00632EC9" w:rsidRDefault="009D1A25" w:rsidP="009D1A25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W</w:t>
            </w:r>
            <w:r w:rsidR="006140D8" w:rsidRPr="00632EC9">
              <w:rPr>
                <w:rFonts w:asciiTheme="minorHAnsi" w:hAnsiTheme="minorHAnsi"/>
                <w:sz w:val="22"/>
                <w:szCs w:val="22"/>
              </w:rPr>
              <w:t>ood or fibreglass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 xml:space="preserve"> staff</w:t>
            </w:r>
            <w:r w:rsidR="0007260F" w:rsidRPr="00632EC9">
              <w:rPr>
                <w:rFonts w:asciiTheme="minorHAnsi" w:hAnsiTheme="minorHAnsi"/>
                <w:sz w:val="22"/>
                <w:szCs w:val="22"/>
              </w:rPr>
              <w:t>, calibrated within 5 years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140D8" w:rsidRPr="00632EC9" w:rsidRDefault="006140D8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Staff bubble attached and accurate to 10’ verticality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140D8" w:rsidRPr="00632EC9" w:rsidRDefault="006140D8" w:rsidP="00FE2D02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 xml:space="preserve">Tripod: 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36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4EB7" w:rsidRPr="00632EC9" w:rsidRDefault="004A4EB7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Rigid</w:t>
            </w:r>
          </w:p>
          <w:p w:rsidR="004A4EB7" w:rsidRPr="00632EC9" w:rsidRDefault="004A4EB7" w:rsidP="004A4EB7">
            <w:pPr>
              <w:tabs>
                <w:tab w:val="left" w:pos="283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A4EB7" w:rsidRPr="00632EC9" w:rsidRDefault="004A4EB7" w:rsidP="004A4EB7">
            <w:pPr>
              <w:tabs>
                <w:tab w:val="left" w:pos="2834"/>
              </w:tabs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Telescopic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140D8" w:rsidRPr="00632EC9" w:rsidRDefault="006140D8" w:rsidP="00410D2B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 xml:space="preserve">Change </w:t>
            </w:r>
            <w:r w:rsidR="00410D2B" w:rsidRPr="00632EC9">
              <w:rPr>
                <w:rFonts w:asciiTheme="minorHAnsi" w:hAnsiTheme="minorHAnsi"/>
                <w:sz w:val="22"/>
                <w:szCs w:val="22"/>
              </w:rPr>
              <w:t>plates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2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140D8" w:rsidRPr="00632EC9" w:rsidRDefault="00410D2B" w:rsidP="00410D2B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Heavy duty</w:t>
            </w:r>
            <w:r w:rsidR="004A4EB7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change p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lates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140D8" w:rsidRPr="00632EC9" w:rsidRDefault="00410D2B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Standard change plates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140D8" w:rsidRPr="00632EC9" w:rsidRDefault="00410D2B" w:rsidP="00410D2B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Standard </w:t>
            </w:r>
            <w:r w:rsidR="006140D8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change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plates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6140D8" w:rsidRPr="00632EC9" w:rsidRDefault="00F51DA6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Thermometer accurate to</w:t>
            </w:r>
            <w:r w:rsidR="006140D8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AA3628" w:rsidRPr="00632EC9" w:rsidRDefault="00AA3628" w:rsidP="00AA3628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1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vertAlign w:val="superscript"/>
                <w:lang w:eastAsia="ar-SA"/>
              </w:rPr>
              <w:t>o</w:t>
            </w:r>
            <w:r w:rsidR="00FF4514" w:rsidRPr="00632EC9">
              <w:rPr>
                <w:rFonts w:asciiTheme="minorHAnsi" w:eastAsia="Lucida Sans Unicode" w:hAnsiTheme="minorHAnsi"/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C </w:t>
            </w:r>
          </w:p>
          <w:p w:rsidR="00AA3628" w:rsidRPr="00632EC9" w:rsidRDefault="00AA3628" w:rsidP="00FE2D02">
            <w:pPr>
              <w:keepNext/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</w:p>
        </w:tc>
      </w:tr>
    </w:tbl>
    <w:p w:rsidR="00456394" w:rsidRPr="002E27C7" w:rsidRDefault="007B3587" w:rsidP="00F0244F">
      <w:pPr>
        <w:pStyle w:val="Heading3"/>
        <w:rPr>
          <w:color w:val="4F6228" w:themeColor="accent3" w:themeShade="80"/>
        </w:rPr>
      </w:pPr>
      <w:bookmarkStart w:id="64" w:name="_Toc320534375"/>
      <w:r w:rsidRPr="005C12A1">
        <w:rPr>
          <w:color w:val="auto"/>
        </w:rPr>
        <w:br w:type="column"/>
      </w:r>
      <w:bookmarkStart w:id="65" w:name="_Toc399488983"/>
      <w:r w:rsidR="00456394" w:rsidRPr="002E27C7">
        <w:rPr>
          <w:color w:val="4F6228" w:themeColor="accent3" w:themeShade="80"/>
        </w:rPr>
        <w:t>Differential levelling observation techniques</w:t>
      </w:r>
      <w:bookmarkEnd w:id="64"/>
      <w:bookmarkEnd w:id="65"/>
    </w:p>
    <w:p w:rsidR="00456394" w:rsidRPr="005C12A1" w:rsidRDefault="00456394" w:rsidP="00215859">
      <w:r w:rsidRPr="005C12A1">
        <w:t xml:space="preserve">The differential levelling observation techniques employed have a direct impact on the quality of the survey results. </w:t>
      </w:r>
      <w:r w:rsidR="00A564B2" w:rsidRPr="005C12A1">
        <w:fldChar w:fldCharType="begin"/>
      </w:r>
      <w:r w:rsidR="00A564B2" w:rsidRPr="005C12A1">
        <w:instrText xml:space="preserve"> REF _Ref363023934 \h </w:instrText>
      </w:r>
      <w:r w:rsidR="00CC3CDA" w:rsidRPr="005C12A1">
        <w:instrText xml:space="preserve"> \* MERGEFORMAT </w:instrText>
      </w:r>
      <w:r w:rsidR="00A564B2" w:rsidRPr="005C12A1">
        <w:fldChar w:fldCharType="separate"/>
      </w:r>
      <w:r w:rsidR="00F256F5" w:rsidRPr="005C12A1">
        <w:t xml:space="preserve">Table </w:t>
      </w:r>
      <w:r w:rsidR="00F256F5">
        <w:rPr>
          <w:noProof/>
        </w:rPr>
        <w:t>2</w:t>
      </w:r>
      <w:r w:rsidR="00A564B2" w:rsidRPr="005C12A1">
        <w:fldChar w:fldCharType="end"/>
      </w:r>
      <w:r w:rsidRPr="005C12A1">
        <w:t xml:space="preserve"> lists the recommended survey practices to achieve vari</w:t>
      </w:r>
      <w:r w:rsidR="00BA2724" w:rsidRPr="005C12A1">
        <w:t>ous</w:t>
      </w:r>
      <w:r w:rsidRPr="005C12A1">
        <w:t xml:space="preserve"> levels of </w:t>
      </w:r>
      <w:r w:rsidR="003C7CDB" w:rsidRPr="005C12A1">
        <w:t xml:space="preserve">height difference </w:t>
      </w:r>
      <w:r w:rsidRPr="005C12A1">
        <w:t xml:space="preserve">survey </w:t>
      </w:r>
      <w:r w:rsidR="00B30761" w:rsidRPr="005C12A1">
        <w:t>misclose</w:t>
      </w:r>
      <w:r w:rsidRPr="005C12A1">
        <w:t>.</w:t>
      </w:r>
      <w:r w:rsidR="00F85339" w:rsidRPr="005C12A1">
        <w:t xml:space="preserve"> </w:t>
      </w:r>
    </w:p>
    <w:p w:rsidR="00A564B2" w:rsidRPr="005C12A1" w:rsidRDefault="00A564B2" w:rsidP="00A564B2">
      <w:pPr>
        <w:pStyle w:val="Caption"/>
        <w:keepNext/>
      </w:pPr>
      <w:bookmarkStart w:id="66" w:name="_Ref363023934"/>
      <w:bookmarkStart w:id="67" w:name="_Toc399488991"/>
      <w:r w:rsidRPr="005C12A1">
        <w:t xml:space="preserve">Table </w:t>
      </w:r>
      <w:r w:rsidR="00882D6D">
        <w:fldChar w:fldCharType="begin"/>
      </w:r>
      <w:r w:rsidR="00882D6D">
        <w:instrText xml:space="preserve"> SEQ Table \* ARABIC </w:instrText>
      </w:r>
      <w:r w:rsidR="00882D6D">
        <w:fldChar w:fldCharType="separate"/>
      </w:r>
      <w:r w:rsidR="00F256F5">
        <w:rPr>
          <w:noProof/>
        </w:rPr>
        <w:t>2</w:t>
      </w:r>
      <w:r w:rsidR="00882D6D">
        <w:rPr>
          <w:noProof/>
        </w:rPr>
        <w:fldChar w:fldCharType="end"/>
      </w:r>
      <w:bookmarkEnd w:id="66"/>
      <w:r w:rsidRPr="005C12A1">
        <w:t>: Differential levelling observation techniques</w:t>
      </w:r>
      <w:r w:rsidR="007E2CA3">
        <w:t>, where k = distance in kilometres</w:t>
      </w:r>
      <w:bookmarkEnd w:id="67"/>
    </w:p>
    <w:tbl>
      <w:tblPr>
        <w:tblStyle w:val="TableContemporary"/>
        <w:tblW w:w="8742" w:type="dxa"/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5C12A1" w:rsidRPr="00632EC9" w:rsidTr="00FF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F63234" w:rsidRPr="00632EC9" w:rsidRDefault="003C7CDB" w:rsidP="003C7CDB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Quality - Maximum allowable misclose (</w:t>
            </w:r>
            <w:r w:rsidR="00504FC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between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forward and back) </w:t>
            </w:r>
          </w:p>
        </w:tc>
      </w:tr>
      <w:tr w:rsidR="007E2CA3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2 mm * 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6 mm *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12 mm *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456394" w:rsidRPr="00632EC9" w:rsidRDefault="00456394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Survey specific: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bottom w:val="single" w:sz="18" w:space="0" w:color="FFFFFF"/>
            </w:tcBorders>
          </w:tcPr>
          <w:p w:rsidR="00456394" w:rsidRPr="00632EC9" w:rsidRDefault="00A53F7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wo-way levelling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45639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Avoid staff index error – observe same staff for first back-sight and last fore-sight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456394" w:rsidRPr="00632EC9" w:rsidRDefault="00456394" w:rsidP="00BA5085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Back-sight/fore-sight lengths</w:t>
            </w:r>
            <w:r w:rsidR="008E76C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(total between </w:t>
            </w:r>
            <w:r w:rsidR="00BA5085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survey control marks</w:t>
            </w:r>
            <w:r w:rsidR="008E76C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)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653677" w:rsidRPr="00632EC9" w:rsidRDefault="008E76CE" w:rsidP="00653677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Individual </w:t>
            </w:r>
            <w:r w:rsidR="00653677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sights a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pproximately equal</w:t>
            </w:r>
          </w:p>
          <w:p w:rsidR="00456394" w:rsidRPr="00632EC9" w:rsidRDefault="00653677" w:rsidP="00DF7126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Total difference 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within 1 metre</w:t>
            </w:r>
          </w:p>
        </w:tc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DF7126" w:rsidP="00DF7126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Total difference a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pproximately equal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456394" w:rsidRPr="00632EC9" w:rsidRDefault="00456394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Staff readings to nearest: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2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456394" w:rsidP="004418ED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0.1 mm</w:t>
            </w:r>
            <w:r w:rsidR="00950C6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. </w:t>
            </w:r>
            <w:r w:rsidR="00DF7126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ean of five readings with</w:t>
            </w:r>
            <w:r w:rsidR="00727C18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a </w:t>
            </w:r>
            <w:r w:rsidR="00BA5085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standard deviation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of </w:t>
            </w:r>
            <w:r w:rsidR="00DF7126" w:rsidRPr="00632EC9">
              <w:rPr>
                <w:rFonts w:asciiTheme="minorHAnsi" w:eastAsia="Lucida Sans Unicode" w:hAnsiTheme="minorHAnsi"/>
                <w:sz w:val="22"/>
                <w:szCs w:val="22"/>
                <w:u w:val="single"/>
                <w:lang w:eastAsia="ar-SA"/>
              </w:rPr>
              <w:t>&lt;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</w:t>
            </w:r>
            <w:r w:rsidR="004418ED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000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2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 </w:t>
            </w:r>
            <w:r w:rsidR="004418ED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m/20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 </w:t>
            </w:r>
            <w:r w:rsidR="004418ED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5D0B01" w:rsidP="004418ED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1 mm</w:t>
            </w:r>
            <w:r w:rsidR="00BA5085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.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ean of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three 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readings with</w:t>
            </w:r>
            <w:r w:rsidR="00727C18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a s</w:t>
            </w:r>
            <w:r w:rsidR="00BA5085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tandard 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d</w:t>
            </w:r>
            <w:r w:rsidR="00BA5085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eviation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of </w:t>
            </w:r>
            <w:r w:rsidR="00BA5085" w:rsidRPr="00632EC9">
              <w:rPr>
                <w:rFonts w:asciiTheme="minorHAnsi" w:eastAsia="Lucida Sans Unicode" w:hAnsiTheme="minorHAnsi"/>
                <w:sz w:val="22"/>
                <w:szCs w:val="22"/>
                <w:u w:val="single"/>
                <w:lang w:eastAsia="ar-SA"/>
              </w:rPr>
              <w:t>&lt;</w:t>
            </w:r>
            <w:r w:rsidR="004418ED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0.00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1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  <w:r w:rsidR="004418ED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/20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="004418ED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5D0B01" w:rsidP="00BA5085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1 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mm</w:t>
            </w:r>
            <w:r w:rsidR="00950C6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456394" w:rsidRPr="00632EC9" w:rsidRDefault="0007346D" w:rsidP="005D0B01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 xml:space="preserve">Temperature </w:t>
            </w:r>
            <w:r w:rsidR="00456394" w:rsidRPr="00632EC9">
              <w:rPr>
                <w:rFonts w:asciiTheme="minorHAnsi" w:hAnsiTheme="minorHAnsi"/>
                <w:sz w:val="22"/>
                <w:szCs w:val="22"/>
              </w:rPr>
              <w:t>recorded: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0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7346D" w:rsidRPr="00632EC9" w:rsidRDefault="0007346D" w:rsidP="00BA5085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Start and 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at 1 hour intervals or pronounced changes in conditions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456394" w:rsidRPr="00632EC9" w:rsidRDefault="00456394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Maximum sight length: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45639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30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0D70E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50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456394" w:rsidRPr="00632EC9" w:rsidRDefault="00D23E04" w:rsidP="00D23E04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8</w:t>
            </w:r>
            <w:r w:rsidR="00456394"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0</w:t>
            </w:r>
            <w:r w:rsidR="004563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456394" w:rsidRPr="00632EC9" w:rsidRDefault="00456394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Minimum ground clearance: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456394" w:rsidRPr="00632EC9" w:rsidRDefault="0045639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0.5</w:t>
            </w:r>
            <w:r w:rsidR="00863F94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</w:t>
            </w:r>
          </w:p>
        </w:tc>
        <w:tc>
          <w:tcPr>
            <w:tcW w:w="2914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456394" w:rsidRPr="00632EC9" w:rsidRDefault="0045639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0.</w:t>
            </w:r>
            <w:r w:rsidR="00CC79A2"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3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</w:t>
            </w:r>
          </w:p>
        </w:tc>
        <w:tc>
          <w:tcPr>
            <w:tcW w:w="2914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456394" w:rsidRPr="00632EC9" w:rsidRDefault="0045639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0.3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</w:t>
            </w:r>
          </w:p>
        </w:tc>
      </w:tr>
    </w:tbl>
    <w:p w:rsidR="00456394" w:rsidRPr="00D7706B" w:rsidRDefault="006F19D5" w:rsidP="00456394">
      <w:pPr>
        <w:pStyle w:val="Heading2"/>
        <w:rPr>
          <w:color w:val="4F6228" w:themeColor="accent3" w:themeShade="80"/>
        </w:rPr>
      </w:pPr>
      <w:bookmarkStart w:id="68" w:name="_Toc320534376"/>
      <w:r w:rsidRPr="005C12A1">
        <w:rPr>
          <w:color w:val="auto"/>
        </w:rPr>
        <w:br w:type="page"/>
      </w:r>
      <w:bookmarkStart w:id="69" w:name="_Toc399488984"/>
      <w:r w:rsidR="00456394" w:rsidRPr="00D7706B">
        <w:rPr>
          <w:color w:val="4F6228" w:themeColor="accent3" w:themeShade="80"/>
        </w:rPr>
        <w:t>Total station differential levelling</w:t>
      </w:r>
      <w:bookmarkEnd w:id="68"/>
      <w:bookmarkEnd w:id="69"/>
    </w:p>
    <w:p w:rsidR="00456394" w:rsidRPr="005C12A1" w:rsidRDefault="00456394" w:rsidP="00215859">
      <w:r w:rsidRPr="005C12A1">
        <w:t xml:space="preserve">Total station differential levelling is a variant of </w:t>
      </w:r>
      <w:r w:rsidR="003C7CDB" w:rsidRPr="005C12A1">
        <w:t>conventional</w:t>
      </w:r>
      <w:r w:rsidRPr="005C12A1">
        <w:t xml:space="preserve"> differential levelling. Differences in height can be determined by making a series of zenith angle and slope distance observations to a prism mounted on a fixed height pole. This technique is conducted in the same fashion as </w:t>
      </w:r>
      <w:r w:rsidR="00BA5085" w:rsidRPr="005C12A1">
        <w:t xml:space="preserve">conventional </w:t>
      </w:r>
      <w:r w:rsidRPr="005C12A1">
        <w:t xml:space="preserve">two-way </w:t>
      </w:r>
      <w:r w:rsidR="00BA5085" w:rsidRPr="005C12A1">
        <w:t xml:space="preserve">differential </w:t>
      </w:r>
      <w:r w:rsidRPr="005C12A1">
        <w:t xml:space="preserve">levelling. </w:t>
      </w:r>
    </w:p>
    <w:p w:rsidR="00950C6E" w:rsidRPr="00D7706B" w:rsidRDefault="00950C6E" w:rsidP="00215859">
      <w:pPr>
        <w:pStyle w:val="Heading3"/>
        <w:jc w:val="both"/>
        <w:rPr>
          <w:color w:val="4F6228" w:themeColor="accent3" w:themeShade="80"/>
        </w:rPr>
      </w:pPr>
      <w:bookmarkStart w:id="70" w:name="_Toc320534377"/>
      <w:bookmarkStart w:id="71" w:name="_Toc399488985"/>
      <w:r w:rsidRPr="00D7706B">
        <w:rPr>
          <w:color w:val="4F6228" w:themeColor="accent3" w:themeShade="80"/>
        </w:rPr>
        <w:t>Total station differential levelling equipment</w:t>
      </w:r>
      <w:bookmarkEnd w:id="70"/>
      <w:bookmarkEnd w:id="71"/>
    </w:p>
    <w:p w:rsidR="00F0244F" w:rsidRPr="005C12A1" w:rsidRDefault="00A564B2" w:rsidP="00215859">
      <w:r w:rsidRPr="005C12A1">
        <w:fldChar w:fldCharType="begin"/>
      </w:r>
      <w:r w:rsidRPr="005C12A1">
        <w:instrText xml:space="preserve"> REF _Ref363023980 \h </w:instrText>
      </w:r>
      <w:r w:rsidR="00CC3CDA" w:rsidRPr="005C12A1">
        <w:instrText xml:space="preserve"> \* MERGEFORMAT </w:instrText>
      </w:r>
      <w:r w:rsidRPr="005C12A1">
        <w:fldChar w:fldCharType="separate"/>
      </w:r>
      <w:r w:rsidR="00F256F5" w:rsidRPr="005C12A1">
        <w:t xml:space="preserve">Table </w:t>
      </w:r>
      <w:r w:rsidR="00F256F5">
        <w:rPr>
          <w:noProof/>
        </w:rPr>
        <w:t>3</w:t>
      </w:r>
      <w:r w:rsidRPr="005C12A1">
        <w:fldChar w:fldCharType="end"/>
      </w:r>
      <w:r w:rsidR="00950C6E" w:rsidRPr="005C12A1">
        <w:t xml:space="preserve"> lists the recommended equipment requirements to achieve vari</w:t>
      </w:r>
      <w:r w:rsidR="00BA2724" w:rsidRPr="005C12A1">
        <w:t>ous</w:t>
      </w:r>
      <w:r w:rsidR="00950C6E" w:rsidRPr="005C12A1">
        <w:t xml:space="preserve"> levels of survey </w:t>
      </w:r>
      <w:r w:rsidR="00311743" w:rsidRPr="005C12A1">
        <w:t>misclose</w:t>
      </w:r>
      <w:r w:rsidR="00950C6E" w:rsidRPr="005C12A1">
        <w:t>.</w:t>
      </w:r>
    </w:p>
    <w:p w:rsidR="00A564B2" w:rsidRPr="005C12A1" w:rsidRDefault="00A564B2" w:rsidP="00A564B2">
      <w:pPr>
        <w:pStyle w:val="Caption"/>
        <w:keepNext/>
      </w:pPr>
      <w:bookmarkStart w:id="72" w:name="_Ref363023980"/>
      <w:bookmarkStart w:id="73" w:name="_Toc399488992"/>
      <w:r w:rsidRPr="005C12A1">
        <w:t xml:space="preserve">Table </w:t>
      </w:r>
      <w:r w:rsidR="00882D6D">
        <w:fldChar w:fldCharType="begin"/>
      </w:r>
      <w:r w:rsidR="00882D6D">
        <w:instrText xml:space="preserve"> SEQ Table \* ARABIC </w:instrText>
      </w:r>
      <w:r w:rsidR="00882D6D">
        <w:fldChar w:fldCharType="separate"/>
      </w:r>
      <w:r w:rsidR="00F256F5">
        <w:rPr>
          <w:noProof/>
        </w:rPr>
        <w:t>3</w:t>
      </w:r>
      <w:r w:rsidR="00882D6D">
        <w:rPr>
          <w:noProof/>
        </w:rPr>
        <w:fldChar w:fldCharType="end"/>
      </w:r>
      <w:bookmarkEnd w:id="72"/>
      <w:r w:rsidRPr="005C12A1">
        <w:t xml:space="preserve">: Total station levelling equipment </w:t>
      </w:r>
      <w:r w:rsidR="00CC3CDA" w:rsidRPr="005C12A1">
        <w:t>recommendations</w:t>
      </w:r>
      <w:r w:rsidR="007E2CA3">
        <w:t>, where k = distance in kilometres</w:t>
      </w:r>
      <w:bookmarkEnd w:id="73"/>
    </w:p>
    <w:tbl>
      <w:tblPr>
        <w:tblStyle w:val="TableContemporary"/>
        <w:tblW w:w="8742" w:type="dxa"/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5C12A1" w:rsidRPr="00632EC9" w:rsidTr="00FF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311743" w:rsidRPr="00632EC9" w:rsidRDefault="003C7CDB" w:rsidP="003C7CDB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Quality - Maximum allowable misclose (</w:t>
            </w:r>
            <w:r w:rsidR="00504FC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between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forward and back)</w:t>
            </w:r>
          </w:p>
        </w:tc>
      </w:tr>
      <w:tr w:rsidR="007E2CA3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2 mm * 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6 mm *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12 mm *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F0244F" w:rsidRPr="00632EC9" w:rsidRDefault="00F0244F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Total station instrument</w:t>
            </w:r>
            <w:r w:rsidR="0008534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standard deviation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7"/>
        </w:trPr>
        <w:tc>
          <w:tcPr>
            <w:tcW w:w="2914" w:type="dxa"/>
            <w:tcBorders>
              <w:bottom w:val="single" w:sz="18" w:space="0" w:color="FFFFFF"/>
            </w:tcBorders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 xml:space="preserve">Distance: </w:t>
            </w:r>
            <w:r w:rsidR="0008534E" w:rsidRPr="00632EC9">
              <w:rPr>
                <w:rFonts w:asciiTheme="minorHAnsi" w:hAnsiTheme="minorHAnsi"/>
                <w:sz w:val="22"/>
                <w:szCs w:val="22"/>
              </w:rPr>
              <w:t xml:space="preserve">± 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 xml:space="preserve">1 mm </w:t>
            </w:r>
            <w:r w:rsidR="0008534E" w:rsidRPr="00632EC9">
              <w:rPr>
                <w:rFonts w:asciiTheme="minorHAnsi" w:hAnsiTheme="minorHAnsi"/>
                <w:sz w:val="22"/>
                <w:szCs w:val="22"/>
              </w:rPr>
              <w:t>+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 xml:space="preserve"> 1 ppm</w:t>
            </w:r>
          </w:p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Zenith angle: 1”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 xml:space="preserve">Distance: </w:t>
            </w:r>
            <w:r w:rsidR="0008534E" w:rsidRPr="00632EC9">
              <w:rPr>
                <w:rFonts w:asciiTheme="minorHAnsi" w:hAnsiTheme="minorHAnsi"/>
                <w:sz w:val="22"/>
                <w:szCs w:val="22"/>
              </w:rPr>
              <w:t xml:space="preserve">± 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 xml:space="preserve">2 mm </w:t>
            </w:r>
            <w:r w:rsidR="0008534E" w:rsidRPr="00632EC9">
              <w:rPr>
                <w:rFonts w:asciiTheme="minorHAnsi" w:hAnsiTheme="minorHAnsi"/>
                <w:sz w:val="22"/>
                <w:szCs w:val="22"/>
              </w:rPr>
              <w:t>+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 xml:space="preserve"> 2 ppm</w:t>
            </w:r>
          </w:p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Zenith angle: 3”</w:t>
            </w:r>
          </w:p>
        </w:tc>
        <w:tc>
          <w:tcPr>
            <w:tcW w:w="2914" w:type="dxa"/>
            <w:tcBorders>
              <w:bottom w:val="single" w:sz="18" w:space="0" w:color="FFFFFF"/>
            </w:tcBorders>
          </w:tcPr>
          <w:p w:rsidR="00F0244F" w:rsidRPr="00632EC9" w:rsidRDefault="0008534E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Distance: ±  3 mm +</w:t>
            </w:r>
            <w:r w:rsidR="00F0244F" w:rsidRPr="00632EC9">
              <w:rPr>
                <w:rFonts w:asciiTheme="minorHAnsi" w:hAnsiTheme="minorHAnsi"/>
                <w:sz w:val="22"/>
                <w:szCs w:val="22"/>
              </w:rPr>
              <w:t xml:space="preserve"> 2 ppm</w:t>
            </w:r>
          </w:p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Zenith angle: 5”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Daily calibration of index errors of vertical circle and level sensor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F0244F" w:rsidRPr="00632EC9" w:rsidRDefault="00F0244F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Accuracy of level sensor or compensator</w:t>
            </w:r>
            <w:r w:rsidR="0008534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 w:cs="Consolas"/>
                <w:sz w:val="22"/>
                <w:szCs w:val="22"/>
              </w:rPr>
              <w:t>0.5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 w:cs="Consolas"/>
                <w:sz w:val="22"/>
                <w:szCs w:val="22"/>
              </w:rPr>
              <w:t>1.5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 w:cs="Consolas"/>
                <w:sz w:val="22"/>
                <w:szCs w:val="22"/>
              </w:rPr>
              <w:t>2.5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F0244F" w:rsidRPr="00632EC9" w:rsidRDefault="00F0244F" w:rsidP="00FE2D02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Atmospheric measurement device</w:t>
            </w:r>
            <w:r w:rsidR="00227461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(accurate to)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</w:t>
            </w:r>
            <w:r w:rsidR="00227461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emperature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=1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vertAlign w:val="superscript"/>
                <w:lang w:eastAsia="ar-SA"/>
              </w:rPr>
              <w:t>o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vertAlign w:val="superscript"/>
                <w:lang w:eastAsia="ar-SA"/>
              </w:rPr>
              <w:t xml:space="preserve">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C, P</w:t>
            </w:r>
            <w:r w:rsidR="00227461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ressure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=1</w:t>
            </w:r>
            <w:r w:rsidR="00FD3399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mb</w:t>
            </w:r>
            <w:proofErr w:type="spellEnd"/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, </w:t>
            </w:r>
            <w:r w:rsidR="00227461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Relative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H</w:t>
            </w:r>
            <w:r w:rsidR="00227461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umidity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=2%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N/A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F0244F" w:rsidRPr="00632EC9" w:rsidRDefault="00F0244F" w:rsidP="00FE2D02">
            <w:pPr>
              <w:spacing w:before="0" w:after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Tripod: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D70EF" w:rsidRPr="00632EC9" w:rsidRDefault="000D70EF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Rigid</w:t>
            </w:r>
          </w:p>
          <w:p w:rsidR="000D70EF" w:rsidRPr="00632EC9" w:rsidRDefault="000D70EF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D70EF" w:rsidRPr="00632EC9" w:rsidRDefault="000D70EF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Telescopic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F0244F" w:rsidRPr="00632EC9" w:rsidRDefault="00F0244F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Fixed height reflector rod with bi-pole support: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Staff bubble attached and accurate to 10’ verticality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Solid fixed height rod (e.g. stainless steel)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Fixed height ensured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</w:tcBorders>
          </w:tcPr>
          <w:p w:rsidR="00F0244F" w:rsidRPr="00632EC9" w:rsidRDefault="00F0244F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Permanently mounted, balanced and tilting prism: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5828" w:type="dxa"/>
            <w:gridSpan w:val="2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Precision prism</w:t>
            </w:r>
          </w:p>
        </w:tc>
        <w:tc>
          <w:tcPr>
            <w:tcW w:w="2914" w:type="dxa"/>
          </w:tcPr>
          <w:p w:rsidR="00F0244F" w:rsidRPr="00632EC9" w:rsidRDefault="00F0244F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General prism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F0244F" w:rsidRPr="00632EC9" w:rsidRDefault="00F0244F" w:rsidP="00132713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 xml:space="preserve">Change </w:t>
            </w:r>
            <w:r w:rsidR="00132713" w:rsidRPr="00632EC9">
              <w:rPr>
                <w:rFonts w:asciiTheme="minorHAnsi" w:hAnsiTheme="minorHAnsi"/>
                <w:sz w:val="22"/>
                <w:szCs w:val="22"/>
              </w:rPr>
              <w:t>plates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6"/>
        </w:trPr>
        <w:tc>
          <w:tcPr>
            <w:tcW w:w="2914" w:type="dxa"/>
          </w:tcPr>
          <w:p w:rsidR="00F0244F" w:rsidRPr="00632EC9" w:rsidRDefault="00132713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Heavy duty change plates</w:t>
            </w:r>
          </w:p>
        </w:tc>
        <w:tc>
          <w:tcPr>
            <w:tcW w:w="2914" w:type="dxa"/>
          </w:tcPr>
          <w:p w:rsidR="00F0244F" w:rsidRPr="00632EC9" w:rsidRDefault="00132713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Standard change plates</w:t>
            </w:r>
          </w:p>
        </w:tc>
        <w:tc>
          <w:tcPr>
            <w:tcW w:w="2914" w:type="dxa"/>
          </w:tcPr>
          <w:p w:rsidR="00F0244F" w:rsidRPr="00632EC9" w:rsidRDefault="00132713" w:rsidP="00FE2D02">
            <w:pPr>
              <w:keepNext/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Standard change plates</w:t>
            </w:r>
          </w:p>
        </w:tc>
      </w:tr>
    </w:tbl>
    <w:p w:rsidR="00593E7F" w:rsidRPr="00D7706B" w:rsidRDefault="00311743" w:rsidP="00593E7F">
      <w:pPr>
        <w:pStyle w:val="Heading3"/>
        <w:rPr>
          <w:color w:val="4F6228" w:themeColor="accent3" w:themeShade="80"/>
        </w:rPr>
      </w:pPr>
      <w:bookmarkStart w:id="74" w:name="_Toc320534378"/>
      <w:r w:rsidRPr="005C12A1">
        <w:rPr>
          <w:color w:val="auto"/>
        </w:rPr>
        <w:br w:type="column"/>
      </w:r>
      <w:bookmarkStart w:id="75" w:name="_Toc399488986"/>
      <w:r w:rsidR="00593E7F" w:rsidRPr="00D7706B">
        <w:rPr>
          <w:color w:val="4F6228" w:themeColor="accent3" w:themeShade="80"/>
        </w:rPr>
        <w:t>Total station differential levelling observation</w:t>
      </w:r>
      <w:bookmarkEnd w:id="74"/>
      <w:bookmarkEnd w:id="75"/>
    </w:p>
    <w:p w:rsidR="00593E7F" w:rsidRPr="005C12A1" w:rsidRDefault="00593E7F" w:rsidP="00215859">
      <w:r w:rsidRPr="005C12A1">
        <w:t>The total station differential levelling observation techniques employed have a direct impact on the quality of the survey results.</w:t>
      </w:r>
      <w:r w:rsidR="003C7CDB" w:rsidRPr="005C12A1">
        <w:t xml:space="preserve"> </w:t>
      </w:r>
      <w:r w:rsidRPr="005C12A1">
        <w:t xml:space="preserve"> </w:t>
      </w:r>
      <w:r w:rsidR="00A564B2" w:rsidRPr="005C12A1">
        <w:fldChar w:fldCharType="begin"/>
      </w:r>
      <w:r w:rsidR="00A564B2" w:rsidRPr="005C12A1">
        <w:instrText xml:space="preserve"> REF _Ref363024018 \h </w:instrText>
      </w:r>
      <w:r w:rsidR="00CC3CDA" w:rsidRPr="005C12A1">
        <w:instrText xml:space="preserve"> \* MERGEFORMAT </w:instrText>
      </w:r>
      <w:r w:rsidR="00A564B2" w:rsidRPr="005C12A1">
        <w:fldChar w:fldCharType="separate"/>
      </w:r>
      <w:r w:rsidR="00F256F5" w:rsidRPr="005C12A1">
        <w:t xml:space="preserve">Table </w:t>
      </w:r>
      <w:r w:rsidR="00F256F5">
        <w:rPr>
          <w:noProof/>
        </w:rPr>
        <w:t>4</w:t>
      </w:r>
      <w:r w:rsidR="00A564B2" w:rsidRPr="005C12A1">
        <w:fldChar w:fldCharType="end"/>
      </w:r>
      <w:r w:rsidR="00C3069C" w:rsidRPr="005C12A1">
        <w:t xml:space="preserve"> </w:t>
      </w:r>
      <w:r w:rsidRPr="005C12A1">
        <w:t>lists the recommended survey practices to achieve vari</w:t>
      </w:r>
      <w:r w:rsidR="00BA2724" w:rsidRPr="005C12A1">
        <w:t>ous</w:t>
      </w:r>
      <w:r w:rsidRPr="005C12A1">
        <w:t xml:space="preserve"> levels of </w:t>
      </w:r>
      <w:r w:rsidR="003C7CDB" w:rsidRPr="005C12A1">
        <w:t xml:space="preserve">height difference </w:t>
      </w:r>
      <w:r w:rsidRPr="005C12A1">
        <w:t xml:space="preserve">survey </w:t>
      </w:r>
      <w:r w:rsidR="00311743" w:rsidRPr="005C12A1">
        <w:t>misclo</w:t>
      </w:r>
      <w:r w:rsidR="0002760A" w:rsidRPr="005C12A1">
        <w:t>s</w:t>
      </w:r>
      <w:r w:rsidR="00311743" w:rsidRPr="005C12A1">
        <w:t>e</w:t>
      </w:r>
      <w:r w:rsidRPr="005C12A1">
        <w:t>.</w:t>
      </w:r>
    </w:p>
    <w:p w:rsidR="00A564B2" w:rsidRPr="005C12A1" w:rsidRDefault="00A564B2" w:rsidP="00A564B2">
      <w:pPr>
        <w:pStyle w:val="Caption"/>
        <w:keepNext/>
      </w:pPr>
      <w:bookmarkStart w:id="76" w:name="_Ref363024018"/>
      <w:bookmarkStart w:id="77" w:name="_Toc399488993"/>
      <w:r w:rsidRPr="005C12A1">
        <w:t xml:space="preserve">Table </w:t>
      </w:r>
      <w:r w:rsidR="00882D6D">
        <w:fldChar w:fldCharType="begin"/>
      </w:r>
      <w:r w:rsidR="00882D6D">
        <w:instrText xml:space="preserve"> SEQ Table \* ARABIC </w:instrText>
      </w:r>
      <w:r w:rsidR="00882D6D">
        <w:fldChar w:fldCharType="separate"/>
      </w:r>
      <w:r w:rsidR="00F256F5">
        <w:rPr>
          <w:noProof/>
        </w:rPr>
        <w:t>4</w:t>
      </w:r>
      <w:r w:rsidR="00882D6D">
        <w:rPr>
          <w:noProof/>
        </w:rPr>
        <w:fldChar w:fldCharType="end"/>
      </w:r>
      <w:bookmarkEnd w:id="76"/>
      <w:r w:rsidRPr="005C12A1">
        <w:t>: Total station differential levelling observation techniques</w:t>
      </w:r>
      <w:r w:rsidR="007E2CA3">
        <w:t>, where k = distance in kilometres</w:t>
      </w:r>
      <w:bookmarkEnd w:id="77"/>
    </w:p>
    <w:tbl>
      <w:tblPr>
        <w:tblStyle w:val="TableContemporary"/>
        <w:tblW w:w="8742" w:type="dxa"/>
        <w:tblLook w:val="01E0" w:firstRow="1" w:lastRow="1" w:firstColumn="1" w:lastColumn="1" w:noHBand="0" w:noVBand="0"/>
      </w:tblPr>
      <w:tblGrid>
        <w:gridCol w:w="2914"/>
        <w:gridCol w:w="2914"/>
        <w:gridCol w:w="2914"/>
      </w:tblGrid>
      <w:tr w:rsidR="005C12A1" w:rsidRPr="00632EC9" w:rsidTr="00FF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0B00D4" w:rsidRPr="00632EC9" w:rsidRDefault="003C7CDB" w:rsidP="003C7CDB">
            <w:pPr>
              <w:spacing w:before="0" w:after="0"/>
              <w:jc w:val="left"/>
              <w:rPr>
                <w:rFonts w:asciiTheme="minorHAnsi" w:eastAsia="Lucida Sans Unicode" w:hAnsiTheme="minorHAnsi"/>
                <w:b w:val="0"/>
                <w:bCs w:val="0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Quality - Maximum allowable misclose (</w:t>
            </w:r>
            <w:r w:rsidR="00504FCE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between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forward and back)</w:t>
            </w:r>
          </w:p>
        </w:tc>
      </w:tr>
      <w:tr w:rsidR="007E2CA3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2 mm * 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6 mm *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  <w:tc>
          <w:tcPr>
            <w:tcW w:w="2914" w:type="dxa"/>
          </w:tcPr>
          <w:p w:rsidR="007E2CA3" w:rsidRPr="00632EC9" w:rsidRDefault="007E2CA3" w:rsidP="007E2CA3">
            <w:pPr>
              <w:spacing w:before="0" w:after="0"/>
              <w:jc w:val="center"/>
              <w:rPr>
                <w:rFonts w:asciiTheme="minorHAnsi" w:eastAsia="Lucida Sans Unicode" w:hAnsiTheme="minorHAnsi"/>
                <w:b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12 mm * 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2"/>
                      <w:szCs w:val="22"/>
                      <w:lang w:eastAsia="ar-SA"/>
                    </w:rPr>
                    <m:t>k</m:t>
                  </m:r>
                </m:e>
              </m:rad>
            </m:oMath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 (km)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</w:tcPr>
          <w:p w:rsidR="00B55310" w:rsidRPr="00632EC9" w:rsidRDefault="00B55310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Survey specific: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bottom w:val="single" w:sz="18" w:space="0" w:color="FFFFFF"/>
            </w:tcBorders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Two-way levelling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Avoid fixed rod index error - observe same rod for first back-sight / last fore-sight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B55310" w:rsidRPr="00632EC9" w:rsidRDefault="00B55310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hAnsiTheme="minorHAnsi"/>
                <w:sz w:val="22"/>
                <w:szCs w:val="22"/>
              </w:rPr>
              <w:t>Atmospherics recorded and applied: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75"/>
        </w:trPr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Start and </w:t>
            </w:r>
            <w:r w:rsidRPr="00632EC9">
              <w:rPr>
                <w:rFonts w:asciiTheme="minorHAnsi" w:hAnsiTheme="minorHAnsi"/>
                <w:sz w:val="22"/>
                <w:szCs w:val="22"/>
              </w:rPr>
              <w:t>at 1 hour intervals or pronounced changes in conditions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N/A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B55310" w:rsidRPr="00632EC9" w:rsidRDefault="00B55310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Back-sight and fore-sight lengths</w:t>
            </w:r>
            <w:r w:rsidR="00BA5085"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(total between survey control marks):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35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Approximately equal and measured to 1 metre</w:t>
            </w:r>
          </w:p>
        </w:tc>
        <w:tc>
          <w:tcPr>
            <w:tcW w:w="582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A5085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Total difference approximately equal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B55310" w:rsidRPr="00632EC9" w:rsidRDefault="00B55310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Number of rounds face left/face right: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3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B55310" w:rsidRPr="00632EC9" w:rsidRDefault="00B55310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Height difference readings to nearest: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 xml:space="preserve">0.1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0.5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1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mm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B55310" w:rsidRPr="00632EC9" w:rsidRDefault="00B55310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Maximum sight length: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B00D4" w:rsidRPr="00632EC9" w:rsidRDefault="000B00D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 xml:space="preserve">50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B00D4" w:rsidRPr="00632EC9" w:rsidRDefault="000B00D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 xml:space="preserve">80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291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0B00D4" w:rsidRPr="00632EC9" w:rsidRDefault="000B00D4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>120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 xml:space="preserve"> m</w:t>
            </w:r>
          </w:p>
        </w:tc>
      </w:tr>
      <w:tr w:rsidR="005C12A1" w:rsidRPr="00632EC9" w:rsidTr="00FF4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8742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</w:tcPr>
          <w:p w:rsidR="00B55310" w:rsidRPr="00632EC9" w:rsidRDefault="00B55310" w:rsidP="00FE2D02">
            <w:pPr>
              <w:spacing w:before="0" w:after="0"/>
              <w:jc w:val="left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Minimum ground clearance:</w:t>
            </w:r>
          </w:p>
        </w:tc>
      </w:tr>
      <w:tr w:rsidR="005C12A1" w:rsidRPr="00632EC9" w:rsidTr="00FF45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tcW w:w="2914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 xml:space="preserve">1.0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</w:p>
        </w:tc>
        <w:tc>
          <w:tcPr>
            <w:tcW w:w="5828" w:type="dxa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B55310" w:rsidRPr="00632EC9" w:rsidRDefault="00B55310" w:rsidP="00FE2D02">
            <w:pPr>
              <w:spacing w:before="0" w:after="0"/>
              <w:jc w:val="center"/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</w:pPr>
            <w:r w:rsidRPr="00632EC9">
              <w:rPr>
                <w:rFonts w:asciiTheme="minorHAnsi" w:eastAsia="Lucida Sans Unicode" w:hAnsiTheme="minorHAnsi" w:cs="Consolas"/>
                <w:sz w:val="22"/>
                <w:szCs w:val="22"/>
                <w:lang w:eastAsia="ar-SA"/>
              </w:rPr>
              <w:t xml:space="preserve">0.5 </w:t>
            </w:r>
            <w:r w:rsidRPr="00632EC9">
              <w:rPr>
                <w:rFonts w:asciiTheme="minorHAnsi" w:eastAsia="Lucida Sans Unicode" w:hAnsiTheme="minorHAnsi"/>
                <w:sz w:val="22"/>
                <w:szCs w:val="22"/>
                <w:lang w:eastAsia="ar-SA"/>
              </w:rPr>
              <w:t>m</w:t>
            </w:r>
          </w:p>
        </w:tc>
      </w:tr>
    </w:tbl>
    <w:p w:rsidR="00EF2F54" w:rsidRPr="00D7706B" w:rsidRDefault="000B00D4" w:rsidP="00B76596">
      <w:pPr>
        <w:pStyle w:val="Heading1"/>
        <w:tabs>
          <w:tab w:val="clear" w:pos="889"/>
          <w:tab w:val="num" w:pos="709"/>
        </w:tabs>
        <w:ind w:left="709"/>
        <w:rPr>
          <w:color w:val="4F6228" w:themeColor="accent3" w:themeShade="80"/>
        </w:rPr>
      </w:pPr>
      <w:r w:rsidRPr="005C12A1">
        <w:rPr>
          <w:color w:val="auto"/>
        </w:rPr>
        <w:br w:type="column"/>
      </w:r>
      <w:bookmarkStart w:id="78" w:name="_Toc358368019"/>
      <w:bookmarkStart w:id="79" w:name="_Toc358565278"/>
      <w:bookmarkStart w:id="80" w:name="_Toc358368020"/>
      <w:bookmarkStart w:id="81" w:name="_Toc358565279"/>
      <w:bookmarkStart w:id="82" w:name="_Toc358368021"/>
      <w:bookmarkStart w:id="83" w:name="_Toc358565280"/>
      <w:bookmarkStart w:id="84" w:name="_Toc358368022"/>
      <w:bookmarkStart w:id="85" w:name="_Toc358565281"/>
      <w:bookmarkStart w:id="86" w:name="_Toc358368023"/>
      <w:bookmarkStart w:id="87" w:name="_Toc358565282"/>
      <w:bookmarkStart w:id="88" w:name="_Toc358368024"/>
      <w:bookmarkStart w:id="89" w:name="_Toc358565283"/>
      <w:bookmarkStart w:id="90" w:name="_Toc320534380"/>
      <w:bookmarkStart w:id="91" w:name="_Toc39948898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DF0A6C" w:rsidRPr="00D7706B">
        <w:rPr>
          <w:color w:val="4F6228" w:themeColor="accent3" w:themeShade="80"/>
        </w:rPr>
        <w:t>Differ</w:t>
      </w:r>
      <w:r w:rsidR="00F935F1" w:rsidRPr="00D7706B">
        <w:rPr>
          <w:color w:val="4F6228" w:themeColor="accent3" w:themeShade="80"/>
        </w:rPr>
        <w:t>ential l</w:t>
      </w:r>
      <w:r w:rsidR="00DF0A6C" w:rsidRPr="00D7706B">
        <w:rPr>
          <w:color w:val="4F6228" w:themeColor="accent3" w:themeShade="80"/>
        </w:rPr>
        <w:t>evelling</w:t>
      </w:r>
      <w:r w:rsidR="00F935F1" w:rsidRPr="00D7706B">
        <w:rPr>
          <w:color w:val="4F6228" w:themeColor="accent3" w:themeShade="80"/>
        </w:rPr>
        <w:t xml:space="preserve"> </w:t>
      </w:r>
      <w:bookmarkEnd w:id="90"/>
      <w:r w:rsidR="005D169A" w:rsidRPr="00D7706B">
        <w:rPr>
          <w:color w:val="4F6228" w:themeColor="accent3" w:themeShade="80"/>
        </w:rPr>
        <w:t>quality</w:t>
      </w:r>
      <w:bookmarkEnd w:id="91"/>
    </w:p>
    <w:p w:rsidR="00F56310" w:rsidRPr="005C12A1" w:rsidRDefault="00EF2F54" w:rsidP="00215859">
      <w:r w:rsidRPr="005C12A1">
        <w:t xml:space="preserve">When conducting differential levelling or total station differential levelling, errors propagate in proportion to the square root of the travelled distance. </w:t>
      </w:r>
    </w:p>
    <w:p w:rsidR="00A74326" w:rsidRPr="005C12A1" w:rsidRDefault="00EF2F54" w:rsidP="00215859">
      <w:pPr>
        <w:tabs>
          <w:tab w:val="left" w:pos="2410"/>
        </w:tabs>
        <w:spacing w:before="0" w:after="0"/>
        <w:rPr>
          <w:rFonts w:eastAsia="Lucida Sans Unicode"/>
          <w:szCs w:val="23"/>
          <w:lang w:eastAsia="ar-SA"/>
        </w:rPr>
      </w:pPr>
      <w:r w:rsidRPr="005C12A1">
        <w:t xml:space="preserve">A misclose assessment should be undertaken to verify that forward and </w:t>
      </w:r>
      <w:r w:rsidR="00DF7DD7" w:rsidRPr="005C12A1">
        <w:t xml:space="preserve">backward </w:t>
      </w:r>
      <w:r w:rsidRPr="005C12A1">
        <w:t xml:space="preserve">runs of a levelling traverse, including any </w:t>
      </w:r>
      <w:r w:rsidR="00DF7DD7" w:rsidRPr="005C12A1">
        <w:t>individual bays</w:t>
      </w:r>
      <w:r w:rsidRPr="005C12A1">
        <w:t xml:space="preserve">, are within the maximum allowable misclose. </w:t>
      </w:r>
      <w:r w:rsidR="00504FCE" w:rsidRPr="005C12A1">
        <w:t xml:space="preserve"> </w:t>
      </w:r>
      <w:r w:rsidR="00A74326" w:rsidRPr="005C12A1">
        <w:rPr>
          <w:rFonts w:eastAsia="Lucida Sans Unicode"/>
          <w:szCs w:val="23"/>
          <w:lang w:eastAsia="ar-SA"/>
        </w:rPr>
        <w:t>The allowable misclose is calculated using the formula:</w:t>
      </w:r>
    </w:p>
    <w:p w:rsidR="0038498A" w:rsidRPr="005C12A1" w:rsidRDefault="0038498A" w:rsidP="00215859">
      <w:pPr>
        <w:tabs>
          <w:tab w:val="left" w:pos="2410"/>
        </w:tabs>
        <w:spacing w:before="0" w:after="0"/>
        <w:rPr>
          <w:rFonts w:eastAsia="Lucida Sans Unicode"/>
          <w:szCs w:val="23"/>
          <w:lang w:eastAsia="ar-SA"/>
        </w:rPr>
      </w:pPr>
    </w:p>
    <w:p w:rsidR="00A74326" w:rsidRPr="005C12A1" w:rsidRDefault="006473BC" w:rsidP="00215859">
      <w:pPr>
        <w:tabs>
          <w:tab w:val="left" w:pos="2410"/>
        </w:tabs>
        <w:spacing w:before="0" w:after="0"/>
        <w:rPr>
          <w:rFonts w:ascii="Cambria Math" w:hAnsi="Cambria Math" w:cs="Arial"/>
          <w:szCs w:val="23"/>
          <w:lang w:val="en-US" w:eastAsia="en-US"/>
          <w:oMath/>
        </w:rPr>
      </w:pPr>
      <m:oMathPara>
        <m:oMath>
          <m:r>
            <w:rPr>
              <w:rFonts w:ascii="Cambria Math" w:eastAsia="Lucida Sans Unicode" w:hAnsi="Cambria Math"/>
              <w:szCs w:val="23"/>
              <w:lang w:eastAsia="ar-SA"/>
            </w:rPr>
            <m:t xml:space="preserve">r = n 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Cs w:val="23"/>
                  <w:lang w:val="en-US" w:eastAsia="en-US"/>
                </w:rPr>
              </m:ctrlPr>
            </m:radPr>
            <m:deg/>
            <m:e>
              <m:r>
                <w:rPr>
                  <w:rFonts w:ascii="Cambria Math" w:hAnsi="Cambria Math" w:cs="Arial"/>
                  <w:szCs w:val="23"/>
                  <w:lang w:val="en-US" w:eastAsia="en-US"/>
                </w:rPr>
                <m:t xml:space="preserve"> k</m:t>
              </m:r>
            </m:e>
          </m:rad>
        </m:oMath>
      </m:oMathPara>
    </w:p>
    <w:p w:rsidR="00A74326" w:rsidRPr="005C12A1" w:rsidRDefault="00A74326" w:rsidP="00215859">
      <w:pPr>
        <w:tabs>
          <w:tab w:val="left" w:pos="2410"/>
        </w:tabs>
        <w:spacing w:before="0" w:after="0"/>
        <w:rPr>
          <w:rFonts w:cs="Arial"/>
          <w:bCs/>
          <w:szCs w:val="23"/>
          <w:lang w:val="en-US" w:eastAsia="en-US"/>
        </w:rPr>
      </w:pPr>
      <w:r w:rsidRPr="005C12A1">
        <w:rPr>
          <w:rFonts w:cs="Arial"/>
          <w:bCs/>
          <w:szCs w:val="23"/>
          <w:lang w:val="en-US" w:eastAsia="en-US"/>
        </w:rPr>
        <w:t>Where:</w:t>
      </w:r>
    </w:p>
    <w:p w:rsidR="00A74326" w:rsidRPr="005C12A1" w:rsidRDefault="00A74326" w:rsidP="00215859">
      <w:pPr>
        <w:tabs>
          <w:tab w:val="left" w:pos="2410"/>
        </w:tabs>
        <w:spacing w:before="0" w:after="0"/>
        <w:rPr>
          <w:rFonts w:cs="Arial"/>
          <w:bCs/>
          <w:szCs w:val="23"/>
          <w:lang w:val="en-US" w:eastAsia="en-US"/>
        </w:rPr>
      </w:pPr>
      <w:r w:rsidRPr="005C12A1">
        <w:rPr>
          <w:rFonts w:cs="Arial"/>
          <w:bCs/>
          <w:szCs w:val="23"/>
          <w:lang w:val="en-US" w:eastAsia="en-US"/>
        </w:rPr>
        <w:tab/>
      </w:r>
      <w:r w:rsidRPr="005C12A1">
        <w:rPr>
          <w:rFonts w:ascii="Cambria Math" w:hAnsi="Cambria Math" w:cs="Arial"/>
          <w:bCs/>
          <w:i/>
          <w:szCs w:val="23"/>
          <w:lang w:val="en-US" w:eastAsia="en-US"/>
        </w:rPr>
        <w:t>r</w:t>
      </w:r>
      <w:r w:rsidRPr="005C12A1">
        <w:rPr>
          <w:rFonts w:ascii="Cambria Math" w:hAnsi="Cambria Math" w:cs="Arial"/>
          <w:bCs/>
          <w:szCs w:val="23"/>
          <w:lang w:val="en-US" w:eastAsia="en-US"/>
        </w:rPr>
        <w:t xml:space="preserve"> </w:t>
      </w:r>
      <w:r w:rsidRPr="005C12A1">
        <w:rPr>
          <w:rFonts w:cs="Arial"/>
          <w:bCs/>
          <w:szCs w:val="23"/>
          <w:lang w:val="en-US" w:eastAsia="en-US"/>
        </w:rPr>
        <w:t xml:space="preserve">= </w:t>
      </w:r>
      <w:r w:rsidRPr="005C12A1">
        <w:rPr>
          <w:rFonts w:cs="Arial"/>
          <w:bCs/>
          <w:szCs w:val="23"/>
          <w:lang w:val="en-US" w:eastAsia="en-US"/>
        </w:rPr>
        <w:tab/>
        <w:t>maximum allowable misclose in mm</w:t>
      </w:r>
    </w:p>
    <w:p w:rsidR="00A74326" w:rsidRPr="005C12A1" w:rsidRDefault="00A74326" w:rsidP="00215859">
      <w:pPr>
        <w:tabs>
          <w:tab w:val="left" w:pos="2410"/>
        </w:tabs>
        <w:spacing w:before="0" w:after="0"/>
        <w:rPr>
          <w:rFonts w:cs="Arial"/>
          <w:bCs/>
          <w:szCs w:val="23"/>
          <w:lang w:val="en-US" w:eastAsia="en-US"/>
        </w:rPr>
      </w:pPr>
      <w:r w:rsidRPr="005C12A1">
        <w:rPr>
          <w:rFonts w:cs="Arial"/>
          <w:bCs/>
          <w:szCs w:val="23"/>
          <w:lang w:val="en-US" w:eastAsia="en-US"/>
        </w:rPr>
        <w:tab/>
      </w:r>
      <w:r w:rsidR="00863F94" w:rsidRPr="005C12A1">
        <w:rPr>
          <w:rFonts w:ascii="Cambria Math" w:hAnsi="Cambria Math" w:cs="Arial"/>
          <w:bCs/>
          <w:i/>
          <w:szCs w:val="23"/>
          <w:lang w:val="en-US" w:eastAsia="en-US"/>
        </w:rPr>
        <w:t>n</w:t>
      </w:r>
      <w:r w:rsidRPr="005C12A1">
        <w:rPr>
          <w:rFonts w:cs="Arial"/>
          <w:bCs/>
          <w:szCs w:val="23"/>
          <w:lang w:val="en-US" w:eastAsia="en-US"/>
        </w:rPr>
        <w:t xml:space="preserve"> =</w:t>
      </w:r>
      <w:r w:rsidRPr="005C12A1">
        <w:rPr>
          <w:rFonts w:cs="Arial"/>
          <w:bCs/>
          <w:szCs w:val="23"/>
          <w:lang w:val="en-US" w:eastAsia="en-US"/>
        </w:rPr>
        <w:tab/>
        <w:t>an empirical value describing the outcome</w:t>
      </w:r>
    </w:p>
    <w:p w:rsidR="00A74326" w:rsidRPr="005C12A1" w:rsidRDefault="00A74326" w:rsidP="00215859">
      <w:pPr>
        <w:tabs>
          <w:tab w:val="left" w:pos="2410"/>
        </w:tabs>
        <w:spacing w:before="0" w:after="0"/>
        <w:rPr>
          <w:rFonts w:cs="Arial"/>
          <w:bCs/>
          <w:szCs w:val="23"/>
          <w:lang w:val="en-US" w:eastAsia="en-US"/>
        </w:rPr>
      </w:pPr>
      <w:r w:rsidRPr="005C12A1">
        <w:rPr>
          <w:rFonts w:cs="Arial"/>
          <w:bCs/>
          <w:szCs w:val="23"/>
          <w:lang w:val="en-US" w:eastAsia="en-US"/>
        </w:rPr>
        <w:tab/>
      </w:r>
      <w:r w:rsidRPr="005C12A1">
        <w:rPr>
          <w:rFonts w:ascii="Cambria Math" w:hAnsi="Cambria Math" w:cs="Arial"/>
          <w:bCs/>
          <w:i/>
          <w:szCs w:val="23"/>
          <w:lang w:val="en-US" w:eastAsia="en-US"/>
        </w:rPr>
        <w:t>k</w:t>
      </w:r>
      <w:r w:rsidRPr="005C12A1">
        <w:rPr>
          <w:rFonts w:cs="Arial"/>
          <w:bCs/>
          <w:szCs w:val="23"/>
          <w:lang w:val="en-US" w:eastAsia="en-US"/>
        </w:rPr>
        <w:t xml:space="preserve"> = </w:t>
      </w:r>
      <w:r w:rsidRPr="005C12A1">
        <w:rPr>
          <w:rFonts w:cs="Arial"/>
          <w:bCs/>
          <w:szCs w:val="23"/>
          <w:lang w:val="en-US" w:eastAsia="en-US"/>
        </w:rPr>
        <w:tab/>
        <w:t xml:space="preserve">distance in km </w:t>
      </w:r>
    </w:p>
    <w:p w:rsidR="00EF2F54" w:rsidRPr="005C12A1" w:rsidRDefault="00EF2F54" w:rsidP="00215859">
      <w:bookmarkStart w:id="92" w:name="_Ref150828553"/>
      <w:bookmarkStart w:id="93" w:name="_Ref174778428"/>
      <w:bookmarkStart w:id="94" w:name="_Toc190588028"/>
      <w:r w:rsidRPr="005C12A1">
        <w:t xml:space="preserve">In order to </w:t>
      </w:r>
      <w:r w:rsidR="00E90F20" w:rsidRPr="005C12A1">
        <w:t>determine</w:t>
      </w:r>
      <w:r w:rsidRPr="005C12A1">
        <w:t xml:space="preserve"> </w:t>
      </w:r>
      <w:r w:rsidR="00504FCE" w:rsidRPr="005C12A1">
        <w:t>the</w:t>
      </w:r>
      <w:r w:rsidR="005677C4" w:rsidRPr="005C12A1">
        <w:t xml:space="preserve"> quality of AHD heights </w:t>
      </w:r>
      <w:r w:rsidRPr="005C12A1">
        <w:t xml:space="preserve">and validate connection to a datum for a </w:t>
      </w:r>
      <w:r w:rsidR="00F935F1" w:rsidRPr="005C12A1">
        <w:t>differential levelling</w:t>
      </w:r>
      <w:r w:rsidRPr="005C12A1">
        <w:t xml:space="preserve"> control survey, observations should be made to </w:t>
      </w:r>
      <w:r w:rsidR="00D21909" w:rsidRPr="005C12A1">
        <w:t>at least two survey control marks with AHD heights.</w:t>
      </w:r>
      <w:r w:rsidRPr="005C12A1">
        <w:t xml:space="preserve"> </w:t>
      </w:r>
    </w:p>
    <w:p w:rsidR="006140D8" w:rsidRPr="005C12A1" w:rsidRDefault="001456CA" w:rsidP="00215859">
      <w:pPr>
        <w:rPr>
          <w:rFonts w:eastAsia="Lucida Sans Unicode"/>
          <w:lang w:eastAsia="ar-SA"/>
        </w:rPr>
      </w:pPr>
      <w:r>
        <w:t>R</w:t>
      </w:r>
      <w:r w:rsidR="00EF2F54" w:rsidRPr="005C12A1">
        <w:t xml:space="preserve">efer to </w:t>
      </w:r>
      <w:r w:rsidR="00C46B59" w:rsidRPr="005C12A1">
        <w:t xml:space="preserve">the </w:t>
      </w:r>
      <w:r w:rsidR="0079201C" w:rsidRPr="005C12A1">
        <w:t xml:space="preserve">SP1 </w:t>
      </w:r>
      <w:r w:rsidR="00C46B59" w:rsidRPr="005C12A1">
        <w:t>Standard</w:t>
      </w:r>
      <w:r w:rsidR="00EF2F54" w:rsidRPr="005C12A1">
        <w:t xml:space="preserve"> and the </w:t>
      </w:r>
      <w:r w:rsidR="00764037" w:rsidRPr="005C12A1">
        <w:rPr>
          <w:i/>
        </w:rPr>
        <w:t>Guideline for the Adjustment</w:t>
      </w:r>
      <w:r w:rsidR="00D21909" w:rsidRPr="005C12A1">
        <w:rPr>
          <w:i/>
        </w:rPr>
        <w:t xml:space="preserve"> and</w:t>
      </w:r>
      <w:r w:rsidR="00764037" w:rsidRPr="005C12A1">
        <w:rPr>
          <w:i/>
        </w:rPr>
        <w:t xml:space="preserve"> </w:t>
      </w:r>
      <w:r w:rsidR="0046170F" w:rsidRPr="005C12A1">
        <w:rPr>
          <w:i/>
        </w:rPr>
        <w:t>Evaluation</w:t>
      </w:r>
      <w:r w:rsidR="00764037" w:rsidRPr="005C12A1">
        <w:rPr>
          <w:i/>
        </w:rPr>
        <w:t xml:space="preserve"> of Survey Control</w:t>
      </w:r>
      <w:r w:rsidR="00EF2F54" w:rsidRPr="005C12A1">
        <w:t xml:space="preserve"> for </w:t>
      </w:r>
      <w:r w:rsidR="00D21909" w:rsidRPr="005C12A1">
        <w:t>deriving</w:t>
      </w:r>
      <w:r w:rsidR="00EF2F54" w:rsidRPr="005C12A1">
        <w:t xml:space="preserve"> uncertainty, the adjustment of survey control</w:t>
      </w:r>
      <w:r w:rsidR="0046170F" w:rsidRPr="005C12A1">
        <w:t xml:space="preserve"> and</w:t>
      </w:r>
      <w:r w:rsidR="00EF2F54" w:rsidRPr="005C12A1">
        <w:t xml:space="preserve"> </w:t>
      </w:r>
      <w:r w:rsidR="0046170F" w:rsidRPr="005C12A1">
        <w:t>evaluating</w:t>
      </w:r>
      <w:r w:rsidR="00EF2F54" w:rsidRPr="005C12A1">
        <w:t xml:space="preserve"> survey measurements</w:t>
      </w:r>
      <w:r w:rsidR="00D21909" w:rsidRPr="005C12A1">
        <w:t>.</w:t>
      </w:r>
      <w:r w:rsidR="00EF2F54" w:rsidRPr="005C12A1">
        <w:rPr>
          <w:rFonts w:eastAsia="Lucida Sans Unicode"/>
          <w:lang w:eastAsia="ar-SA"/>
        </w:rPr>
        <w:t xml:space="preserve"> </w:t>
      </w:r>
      <w:bookmarkStart w:id="95" w:name="_Toc266195799"/>
      <w:bookmarkStart w:id="96" w:name="_Toc266195800"/>
      <w:bookmarkStart w:id="97" w:name="_Toc266195801"/>
      <w:bookmarkStart w:id="98" w:name="_Toc266195803"/>
      <w:bookmarkStart w:id="99" w:name="_Toc266195806"/>
      <w:bookmarkStart w:id="100" w:name="_Toc266195807"/>
      <w:bookmarkStart w:id="101" w:name="_Toc266195808"/>
      <w:bookmarkStart w:id="102" w:name="_Toc266195809"/>
      <w:bookmarkStart w:id="103" w:name="_Toc266195810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D23E04" w:rsidRPr="005C12A1" w:rsidRDefault="00D23E04" w:rsidP="00CC3CDA">
      <w:pPr>
        <w:jc w:val="left"/>
        <w:rPr>
          <w:rFonts w:eastAsia="Lucida Sans Unicode"/>
          <w:lang w:eastAsia="ar-SA"/>
        </w:rPr>
      </w:pPr>
    </w:p>
    <w:p w:rsidR="00D23E04" w:rsidRPr="00D7706B" w:rsidRDefault="00B64E9F" w:rsidP="00B76596">
      <w:pPr>
        <w:pStyle w:val="Heading1"/>
        <w:tabs>
          <w:tab w:val="clear" w:pos="889"/>
          <w:tab w:val="num" w:pos="709"/>
        </w:tabs>
        <w:ind w:left="709"/>
        <w:rPr>
          <w:color w:val="4F6228" w:themeColor="accent3" w:themeShade="80"/>
        </w:rPr>
      </w:pPr>
      <w:bookmarkStart w:id="104" w:name="_Toc399488988"/>
      <w:r w:rsidRPr="00D7706B">
        <w:rPr>
          <w:color w:val="4F6228" w:themeColor="accent3" w:themeShade="80"/>
        </w:rPr>
        <w:t xml:space="preserve">Example </w:t>
      </w:r>
      <w:r w:rsidR="000147E9" w:rsidRPr="00D7706B">
        <w:rPr>
          <w:color w:val="4F6228" w:themeColor="accent3" w:themeShade="80"/>
        </w:rPr>
        <w:t>evaluation</w:t>
      </w:r>
      <w:r w:rsidRPr="00D7706B">
        <w:rPr>
          <w:color w:val="4F6228" w:themeColor="accent3" w:themeShade="80"/>
        </w:rPr>
        <w:t xml:space="preserve"> procedure</w:t>
      </w:r>
      <w:bookmarkEnd w:id="104"/>
    </w:p>
    <w:p w:rsidR="00A914D4" w:rsidRPr="005C12A1" w:rsidRDefault="00A564B2" w:rsidP="00215859">
      <w:pPr>
        <w:tabs>
          <w:tab w:val="left" w:pos="2410"/>
        </w:tabs>
        <w:rPr>
          <w:rFonts w:eastAsia="Lucida Sans Unicode"/>
          <w:szCs w:val="23"/>
          <w:lang w:eastAsia="ar-SA"/>
        </w:rPr>
      </w:pPr>
      <w:r w:rsidRPr="005C12A1">
        <w:fldChar w:fldCharType="begin"/>
      </w:r>
      <w:r w:rsidRPr="005C12A1">
        <w:instrText xml:space="preserve"> REF _Ref363024068 \h </w:instrText>
      </w:r>
      <w:r w:rsidR="00CC3CDA" w:rsidRPr="005C12A1">
        <w:instrText xml:space="preserve"> \* MERGEFORMAT </w:instrText>
      </w:r>
      <w:r w:rsidRPr="005C12A1">
        <w:fldChar w:fldCharType="separate"/>
      </w:r>
      <w:r w:rsidR="00F256F5" w:rsidRPr="005C12A1">
        <w:t xml:space="preserve">Figure </w:t>
      </w:r>
      <w:r w:rsidR="00F256F5">
        <w:rPr>
          <w:noProof/>
        </w:rPr>
        <w:t>1</w:t>
      </w:r>
      <w:r w:rsidRPr="005C12A1">
        <w:fldChar w:fldCharType="end"/>
      </w:r>
      <w:r w:rsidR="006B4180" w:rsidRPr="005C12A1">
        <w:t xml:space="preserve"> depicts a typical example of the establishment of </w:t>
      </w:r>
      <w:r w:rsidR="000147E9" w:rsidRPr="005C12A1">
        <w:t>t</w:t>
      </w:r>
      <w:r w:rsidR="009A1487" w:rsidRPr="005C12A1">
        <w:t>wo new survey control marks</w:t>
      </w:r>
      <w:r w:rsidR="006B4180" w:rsidRPr="005C12A1">
        <w:t>.</w:t>
      </w:r>
      <w:r w:rsidR="00A914D4" w:rsidRPr="005C12A1">
        <w:rPr>
          <w:rFonts w:eastAsia="Lucida Sans Unicode"/>
          <w:szCs w:val="23"/>
          <w:lang w:eastAsia="ar-SA"/>
        </w:rPr>
        <w:t xml:space="preserve">  T</w:t>
      </w:r>
      <w:r w:rsidR="009A1487" w:rsidRPr="005C12A1">
        <w:rPr>
          <w:rFonts w:eastAsia="Lucida Sans Unicode"/>
          <w:szCs w:val="23"/>
          <w:lang w:eastAsia="ar-SA"/>
        </w:rPr>
        <w:t xml:space="preserve">wo way differential levelling is conducted from existing survey control marks </w:t>
      </w:r>
      <w:r w:rsidR="00563F04" w:rsidRPr="005C12A1">
        <w:rPr>
          <w:rFonts w:eastAsia="Lucida Sans Unicode"/>
          <w:szCs w:val="23"/>
          <w:lang w:eastAsia="ar-SA"/>
        </w:rPr>
        <w:t xml:space="preserve">BM 1 and BM 2 </w:t>
      </w:r>
      <w:r w:rsidR="009A1487" w:rsidRPr="005C12A1">
        <w:rPr>
          <w:rFonts w:eastAsia="Lucida Sans Unicode"/>
          <w:szCs w:val="23"/>
          <w:lang w:eastAsia="ar-SA"/>
        </w:rPr>
        <w:t>to the new survey control marks</w:t>
      </w:r>
      <w:r w:rsidR="00563F04" w:rsidRPr="005C12A1">
        <w:rPr>
          <w:rFonts w:eastAsia="Lucida Sans Unicode"/>
          <w:szCs w:val="23"/>
          <w:lang w:eastAsia="ar-SA"/>
        </w:rPr>
        <w:t xml:space="preserve"> BM 3 and BM 4</w:t>
      </w:r>
      <w:r w:rsidR="009A1487" w:rsidRPr="005C12A1">
        <w:rPr>
          <w:rFonts w:eastAsia="Lucida Sans Unicode"/>
          <w:szCs w:val="23"/>
          <w:lang w:eastAsia="ar-SA"/>
        </w:rPr>
        <w:t>.</w:t>
      </w:r>
      <w:r w:rsidR="00250B9F" w:rsidRPr="005C12A1">
        <w:rPr>
          <w:rFonts w:eastAsia="Lucida Sans Unicode"/>
          <w:szCs w:val="23"/>
          <w:lang w:eastAsia="ar-SA"/>
        </w:rPr>
        <w:t xml:space="preserve">  </w:t>
      </w:r>
    </w:p>
    <w:p w:rsidR="00A564B2" w:rsidRPr="005C12A1" w:rsidRDefault="006D6FF6" w:rsidP="00A564B2">
      <w:pPr>
        <w:keepNext/>
        <w:tabs>
          <w:tab w:val="left" w:pos="2410"/>
        </w:tabs>
      </w:pPr>
      <w:r>
        <w:rPr>
          <w:noProof/>
        </w:rPr>
        <w:drawing>
          <wp:inline distT="0" distB="0" distL="0" distR="0" wp14:anchorId="0F9A5715" wp14:editId="28B51A9E">
            <wp:extent cx="5429250" cy="13515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35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D4" w:rsidRPr="005C12A1" w:rsidRDefault="00A564B2" w:rsidP="00A564B2">
      <w:pPr>
        <w:pStyle w:val="Caption"/>
        <w:rPr>
          <w:rFonts w:eastAsia="Lucida Sans Unicode"/>
          <w:szCs w:val="23"/>
          <w:lang w:eastAsia="ar-SA"/>
        </w:rPr>
      </w:pPr>
      <w:bookmarkStart w:id="105" w:name="_Ref363024068"/>
      <w:bookmarkStart w:id="106" w:name="_Toc399488989"/>
      <w:r w:rsidRPr="005C12A1">
        <w:t xml:space="preserve">Figure </w:t>
      </w:r>
      <w:r w:rsidR="00882D6D">
        <w:fldChar w:fldCharType="begin"/>
      </w:r>
      <w:r w:rsidR="00882D6D">
        <w:instrText xml:space="preserve"> SEQ Figure \* ARABIC </w:instrText>
      </w:r>
      <w:r w:rsidR="00882D6D">
        <w:fldChar w:fldCharType="separate"/>
      </w:r>
      <w:r w:rsidR="00F256F5">
        <w:rPr>
          <w:noProof/>
        </w:rPr>
        <w:t>1</w:t>
      </w:r>
      <w:r w:rsidR="00882D6D">
        <w:rPr>
          <w:noProof/>
        </w:rPr>
        <w:fldChar w:fldCharType="end"/>
      </w:r>
      <w:bookmarkEnd w:id="105"/>
      <w:r w:rsidRPr="005C12A1">
        <w:t>: Differential levelling survey example</w:t>
      </w:r>
      <w:bookmarkEnd w:id="106"/>
    </w:p>
    <w:p w:rsidR="00D50C50" w:rsidRPr="005C12A1" w:rsidRDefault="00D50C50" w:rsidP="00A564B2">
      <w:pPr>
        <w:tabs>
          <w:tab w:val="left" w:pos="2410"/>
        </w:tabs>
        <w:spacing w:before="0" w:after="0"/>
        <w:rPr>
          <w:rFonts w:eastAsia="Lucida Sans Unicode"/>
          <w:szCs w:val="23"/>
          <w:lang w:eastAsia="ar-SA"/>
        </w:rPr>
      </w:pPr>
    </w:p>
    <w:p w:rsidR="004369E3" w:rsidRPr="005C12A1" w:rsidRDefault="00250B9F" w:rsidP="00215859">
      <w:pPr>
        <w:tabs>
          <w:tab w:val="left" w:pos="2410"/>
        </w:tabs>
        <w:spacing w:before="0" w:after="0"/>
        <w:rPr>
          <w:rFonts w:eastAsia="Lucida Sans Unicode"/>
          <w:szCs w:val="23"/>
          <w:lang w:eastAsia="ar-SA"/>
        </w:rPr>
      </w:pPr>
      <w:r w:rsidRPr="005C12A1">
        <w:rPr>
          <w:rFonts w:eastAsia="Lucida Sans Unicode"/>
          <w:szCs w:val="23"/>
          <w:lang w:eastAsia="ar-SA"/>
        </w:rPr>
        <w:t xml:space="preserve">The </w:t>
      </w:r>
      <w:r w:rsidR="000147E9" w:rsidRPr="005C12A1">
        <w:rPr>
          <w:rFonts w:eastAsia="Lucida Sans Unicode"/>
          <w:szCs w:val="23"/>
          <w:lang w:eastAsia="ar-SA"/>
        </w:rPr>
        <w:t xml:space="preserve">survey misclose </w:t>
      </w:r>
      <w:r w:rsidR="00A914D4" w:rsidRPr="005C12A1">
        <w:rPr>
          <w:rFonts w:eastAsia="Lucida Sans Unicode"/>
          <w:szCs w:val="23"/>
          <w:lang w:eastAsia="ar-SA"/>
        </w:rPr>
        <w:t>is</w:t>
      </w:r>
      <w:r w:rsidR="000147E9" w:rsidRPr="005C12A1">
        <w:rPr>
          <w:rFonts w:eastAsia="Lucida Sans Unicode"/>
          <w:szCs w:val="23"/>
          <w:lang w:eastAsia="ar-SA"/>
        </w:rPr>
        <w:t xml:space="preserve"> calculated by comparing the </w:t>
      </w:r>
      <w:r w:rsidRPr="005C12A1">
        <w:rPr>
          <w:rFonts w:eastAsia="Lucida Sans Unicode"/>
          <w:szCs w:val="23"/>
          <w:lang w:eastAsia="ar-SA"/>
        </w:rPr>
        <w:t xml:space="preserve">forward and backward height differences </w:t>
      </w:r>
      <w:r w:rsidR="00615964" w:rsidRPr="005C12A1">
        <w:rPr>
          <w:rFonts w:eastAsia="Lucida Sans Unicode"/>
          <w:szCs w:val="23"/>
          <w:lang w:eastAsia="ar-SA"/>
        </w:rPr>
        <w:t>of the i</w:t>
      </w:r>
      <w:r w:rsidRPr="005C12A1">
        <w:rPr>
          <w:rFonts w:eastAsia="Lucida Sans Unicode"/>
          <w:szCs w:val="23"/>
          <w:lang w:eastAsia="ar-SA"/>
        </w:rPr>
        <w:t>ndividual bays of levelling</w:t>
      </w:r>
      <w:r w:rsidR="000147E9" w:rsidRPr="005C12A1">
        <w:rPr>
          <w:rFonts w:eastAsia="Lucida Sans Unicode"/>
          <w:szCs w:val="23"/>
          <w:lang w:eastAsia="ar-SA"/>
        </w:rPr>
        <w:t>.  The</w:t>
      </w:r>
      <w:r w:rsidR="0079201C" w:rsidRPr="005C12A1">
        <w:rPr>
          <w:rFonts w:eastAsia="Lucida Sans Unicode"/>
          <w:szCs w:val="23"/>
          <w:lang w:eastAsia="ar-SA"/>
        </w:rPr>
        <w:t xml:space="preserve"> total</w:t>
      </w:r>
      <w:r w:rsidR="000147E9" w:rsidRPr="005C12A1">
        <w:rPr>
          <w:rFonts w:eastAsia="Lucida Sans Unicode"/>
          <w:szCs w:val="23"/>
          <w:lang w:eastAsia="ar-SA"/>
        </w:rPr>
        <w:t xml:space="preserve"> </w:t>
      </w:r>
      <w:r w:rsidR="00A914D4" w:rsidRPr="005C12A1">
        <w:rPr>
          <w:rFonts w:eastAsia="Lucida Sans Unicode"/>
          <w:szCs w:val="23"/>
          <w:lang w:eastAsia="ar-SA"/>
        </w:rPr>
        <w:t>survey misclose is a</w:t>
      </w:r>
      <w:r w:rsidR="000147E9" w:rsidRPr="005C12A1">
        <w:rPr>
          <w:rFonts w:eastAsia="Lucida Sans Unicode"/>
          <w:szCs w:val="23"/>
          <w:lang w:eastAsia="ar-SA"/>
        </w:rPr>
        <w:t>lso calculated on the accumulated total of the forward and backward height difference miscloses</w:t>
      </w:r>
      <w:r w:rsidR="00A914D4" w:rsidRPr="005C12A1">
        <w:rPr>
          <w:rFonts w:eastAsia="Lucida Sans Unicode"/>
          <w:szCs w:val="23"/>
          <w:lang w:eastAsia="ar-SA"/>
        </w:rPr>
        <w:t xml:space="preserve">.  </w:t>
      </w:r>
      <w:r w:rsidR="00FE168D" w:rsidRPr="005C12A1">
        <w:rPr>
          <w:rFonts w:eastAsia="Lucida Sans Unicode"/>
          <w:szCs w:val="23"/>
          <w:lang w:eastAsia="ar-SA"/>
        </w:rPr>
        <w:t xml:space="preserve">These miscloses are compared to the specified </w:t>
      </w:r>
      <w:r w:rsidR="00442CDA" w:rsidRPr="005C12A1">
        <w:rPr>
          <w:rFonts w:eastAsia="Lucida Sans Unicode"/>
          <w:szCs w:val="23"/>
          <w:lang w:eastAsia="ar-SA"/>
        </w:rPr>
        <w:t xml:space="preserve">allowable misclose to determine if the survey </w:t>
      </w:r>
      <w:r w:rsidR="00E5449F" w:rsidRPr="005C12A1">
        <w:rPr>
          <w:rFonts w:eastAsia="Lucida Sans Unicode"/>
          <w:szCs w:val="23"/>
          <w:lang w:eastAsia="ar-SA"/>
        </w:rPr>
        <w:t xml:space="preserve">(independent of datum) </w:t>
      </w:r>
      <w:r w:rsidR="00442CDA" w:rsidRPr="005C12A1">
        <w:rPr>
          <w:rFonts w:eastAsia="Lucida Sans Unicode"/>
          <w:szCs w:val="23"/>
          <w:lang w:eastAsia="ar-SA"/>
        </w:rPr>
        <w:t xml:space="preserve">meets the </w:t>
      </w:r>
      <w:r w:rsidR="00CC3CDA" w:rsidRPr="005C12A1">
        <w:rPr>
          <w:rFonts w:eastAsia="Lucida Sans Unicode"/>
          <w:szCs w:val="23"/>
          <w:lang w:eastAsia="ar-SA"/>
        </w:rPr>
        <w:t>recommended</w:t>
      </w:r>
      <w:r w:rsidR="00442CDA" w:rsidRPr="005C12A1">
        <w:rPr>
          <w:rFonts w:eastAsia="Lucida Sans Unicode"/>
          <w:szCs w:val="23"/>
          <w:lang w:eastAsia="ar-SA"/>
        </w:rPr>
        <w:t xml:space="preserve"> outcome.</w:t>
      </w:r>
      <w:r w:rsidR="00382087" w:rsidRPr="005C12A1">
        <w:rPr>
          <w:rFonts w:eastAsia="Lucida Sans Unicode"/>
          <w:szCs w:val="23"/>
          <w:lang w:eastAsia="ar-SA"/>
        </w:rPr>
        <w:t xml:space="preserve">  </w:t>
      </w:r>
    </w:p>
    <w:p w:rsidR="006A4EF5" w:rsidRPr="005C12A1" w:rsidRDefault="001456CA" w:rsidP="00215859">
      <w:pPr>
        <w:tabs>
          <w:tab w:val="left" w:pos="2410"/>
        </w:tabs>
        <w:spacing w:before="0" w:after="0"/>
        <w:rPr>
          <w:rFonts w:cs="Arial"/>
          <w:bCs/>
          <w:szCs w:val="23"/>
          <w:lang w:val="en-US"/>
        </w:rPr>
      </w:pPr>
      <w:r>
        <w:rPr>
          <w:rFonts w:cs="Arial"/>
          <w:bCs/>
          <w:szCs w:val="23"/>
          <w:lang w:val="en-US" w:eastAsia="en-US"/>
        </w:rPr>
        <w:t xml:space="preserve">Using the value of </w:t>
      </w:r>
      <w:r>
        <w:t>6</w:t>
      </w:r>
      <m:oMath>
        <m:rad>
          <m:radPr>
            <m:degHide m:val="1"/>
            <m:ctrlPr>
              <w:rPr>
                <w:rFonts w:ascii="Cambria Math" w:eastAsia="Lucida Sans Unicode" w:hAnsi="Cambria Math"/>
                <w:sz w:val="22"/>
                <w:szCs w:val="22"/>
                <w:lang w:eastAsia="ar-S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Lucida Sans Unicode" w:hAnsi="Cambria Math"/>
                <w:sz w:val="22"/>
                <w:szCs w:val="22"/>
                <w:lang w:eastAsia="ar-SA"/>
              </w:rPr>
              <m:t>k</m:t>
            </m:r>
          </m:e>
        </m:rad>
        <m:r>
          <w:rPr>
            <w:rFonts w:ascii="Cambria Math" w:eastAsia="Lucida Sans Unicode" w:hAnsi="Cambria Math"/>
            <w:sz w:val="22"/>
            <w:szCs w:val="22"/>
            <w:lang w:eastAsia="ar-SA"/>
          </w:rPr>
          <m:t xml:space="preserve"> </m:t>
        </m:r>
      </m:oMath>
      <w:r>
        <w:rPr>
          <w:sz w:val="22"/>
          <w:szCs w:val="22"/>
          <w:lang w:eastAsia="ar-SA"/>
        </w:rPr>
        <w:t xml:space="preserve"> </w:t>
      </w:r>
      <w:r w:rsidRPr="001456CA">
        <w:rPr>
          <w:szCs w:val="23"/>
          <w:lang w:eastAsia="ar-SA"/>
        </w:rPr>
        <w:t>which was determined under the project specifications as an example</w:t>
      </w:r>
      <w:r>
        <w:rPr>
          <w:szCs w:val="23"/>
          <w:lang w:eastAsia="ar-SA"/>
        </w:rPr>
        <w:t>,</w:t>
      </w:r>
      <w:r w:rsidRPr="001456CA">
        <w:rPr>
          <w:szCs w:val="23"/>
          <w:lang w:eastAsia="ar-SA"/>
        </w:rPr>
        <w:t xml:space="preserve"> </w:t>
      </w:r>
      <w:r w:rsidR="00A564B2" w:rsidRPr="001456CA">
        <w:rPr>
          <w:rFonts w:cs="Arial"/>
          <w:bCs/>
          <w:szCs w:val="23"/>
          <w:lang w:val="en-US" w:eastAsia="en-US"/>
        </w:rPr>
        <w:fldChar w:fldCharType="begin"/>
      </w:r>
      <w:r w:rsidR="00A564B2" w:rsidRPr="001456CA">
        <w:rPr>
          <w:rFonts w:cs="Arial"/>
          <w:bCs/>
          <w:szCs w:val="23"/>
          <w:lang w:val="en-US" w:eastAsia="en-US"/>
        </w:rPr>
        <w:instrText xml:space="preserve"> REF _Ref363024117 \h </w:instrText>
      </w:r>
      <w:r w:rsidR="00CC3CDA" w:rsidRPr="001456CA">
        <w:rPr>
          <w:rFonts w:cs="Arial"/>
          <w:bCs/>
          <w:szCs w:val="23"/>
          <w:lang w:val="en-US" w:eastAsia="en-US"/>
        </w:rPr>
        <w:instrText xml:space="preserve"> \* MERGEFORMAT </w:instrText>
      </w:r>
      <w:r w:rsidR="00A564B2" w:rsidRPr="001456CA">
        <w:rPr>
          <w:rFonts w:cs="Arial"/>
          <w:bCs/>
          <w:szCs w:val="23"/>
          <w:lang w:val="en-US" w:eastAsia="en-US"/>
        </w:rPr>
      </w:r>
      <w:r w:rsidR="00A564B2" w:rsidRPr="001456CA">
        <w:rPr>
          <w:rFonts w:cs="Arial"/>
          <w:bCs/>
          <w:szCs w:val="23"/>
          <w:lang w:val="en-US" w:eastAsia="en-US"/>
        </w:rPr>
        <w:fldChar w:fldCharType="separate"/>
      </w:r>
      <w:r w:rsidR="00F256F5" w:rsidRPr="00F256F5">
        <w:rPr>
          <w:szCs w:val="23"/>
        </w:rPr>
        <w:t xml:space="preserve">Table </w:t>
      </w:r>
      <w:r w:rsidR="00F256F5" w:rsidRPr="00F256F5">
        <w:rPr>
          <w:noProof/>
          <w:szCs w:val="23"/>
        </w:rPr>
        <w:t>5</w:t>
      </w:r>
      <w:r w:rsidR="00A564B2" w:rsidRPr="001456CA">
        <w:rPr>
          <w:rFonts w:cs="Arial"/>
          <w:bCs/>
          <w:szCs w:val="23"/>
          <w:lang w:val="en-US" w:eastAsia="en-US"/>
        </w:rPr>
        <w:fldChar w:fldCharType="end"/>
      </w:r>
      <w:r w:rsidR="0084469F" w:rsidRPr="001456CA">
        <w:rPr>
          <w:rFonts w:cs="Arial"/>
          <w:bCs/>
          <w:szCs w:val="23"/>
          <w:lang w:val="en-US" w:eastAsia="en-US"/>
        </w:rPr>
        <w:t xml:space="preserve"> </w:t>
      </w:r>
      <w:r w:rsidR="002821EE" w:rsidRPr="001456CA">
        <w:rPr>
          <w:rFonts w:cs="Arial"/>
          <w:bCs/>
          <w:szCs w:val="23"/>
          <w:lang w:val="en-US" w:eastAsia="en-US"/>
        </w:rPr>
        <w:t>shows the evaluation</w:t>
      </w:r>
      <w:r w:rsidR="002821EE" w:rsidRPr="005C12A1">
        <w:rPr>
          <w:rFonts w:cs="Arial"/>
          <w:bCs/>
          <w:szCs w:val="23"/>
          <w:lang w:val="en-US" w:eastAsia="en-US"/>
        </w:rPr>
        <w:t xml:space="preserve"> of the forward and backward miscloses</w:t>
      </w:r>
      <w:r w:rsidR="00686CD8" w:rsidRPr="005C12A1">
        <w:rPr>
          <w:rFonts w:cs="Arial"/>
          <w:bCs/>
          <w:szCs w:val="23"/>
          <w:lang w:val="en-US" w:eastAsia="en-US"/>
        </w:rPr>
        <w:t xml:space="preserve">, based on the </w:t>
      </w:r>
      <w:r w:rsidR="002821EE" w:rsidRPr="005C12A1">
        <w:rPr>
          <w:rFonts w:cs="Arial"/>
          <w:bCs/>
          <w:szCs w:val="23"/>
          <w:lang w:val="en-US" w:eastAsia="en-US"/>
        </w:rPr>
        <w:t xml:space="preserve">example </w:t>
      </w:r>
      <w:r w:rsidR="00686CD8" w:rsidRPr="005C12A1">
        <w:rPr>
          <w:rFonts w:cs="Arial"/>
          <w:bCs/>
          <w:szCs w:val="23"/>
          <w:lang w:val="en-US" w:eastAsia="en-US"/>
        </w:rPr>
        <w:t>in Figure 1</w:t>
      </w:r>
      <w:r w:rsidR="002821EE" w:rsidRPr="005C12A1">
        <w:rPr>
          <w:rFonts w:cs="Arial"/>
          <w:bCs/>
          <w:szCs w:val="23"/>
          <w:lang w:val="en-US" w:eastAsia="en-US"/>
        </w:rPr>
        <w:t xml:space="preserve">.  </w:t>
      </w:r>
    </w:p>
    <w:p w:rsidR="00D50C50" w:rsidRPr="005C12A1" w:rsidRDefault="00D50C50" w:rsidP="00A564B2">
      <w:pPr>
        <w:tabs>
          <w:tab w:val="left" w:pos="2410"/>
        </w:tabs>
        <w:spacing w:before="0" w:after="0"/>
        <w:jc w:val="left"/>
        <w:rPr>
          <w:rFonts w:cs="Arial"/>
          <w:bCs/>
          <w:szCs w:val="23"/>
          <w:lang w:val="en-US"/>
        </w:rPr>
      </w:pPr>
    </w:p>
    <w:p w:rsidR="00A564B2" w:rsidRPr="005C12A1" w:rsidRDefault="00A564B2" w:rsidP="00A564B2">
      <w:pPr>
        <w:pStyle w:val="Caption"/>
        <w:keepNext/>
      </w:pPr>
      <w:bookmarkStart w:id="107" w:name="_Ref363024117"/>
      <w:bookmarkStart w:id="108" w:name="_Toc399488994"/>
      <w:r w:rsidRPr="005C12A1">
        <w:t xml:space="preserve">Table </w:t>
      </w:r>
      <w:r w:rsidR="00882D6D">
        <w:fldChar w:fldCharType="begin"/>
      </w:r>
      <w:r w:rsidR="00882D6D">
        <w:instrText xml:space="preserve"> SEQ Table \* ARABIC </w:instrText>
      </w:r>
      <w:r w:rsidR="00882D6D">
        <w:fldChar w:fldCharType="separate"/>
      </w:r>
      <w:r w:rsidR="00F256F5">
        <w:rPr>
          <w:noProof/>
        </w:rPr>
        <w:t>5</w:t>
      </w:r>
      <w:r w:rsidR="00882D6D">
        <w:rPr>
          <w:noProof/>
        </w:rPr>
        <w:fldChar w:fldCharType="end"/>
      </w:r>
      <w:bookmarkEnd w:id="107"/>
      <w:r w:rsidRPr="005C12A1">
        <w:t>: Evaluating the forward and backward miscloses</w:t>
      </w:r>
      <w:bookmarkEnd w:id="108"/>
    </w:p>
    <w:tbl>
      <w:tblPr>
        <w:tblStyle w:val="TableContemporary"/>
        <w:tblW w:w="8755" w:type="dxa"/>
        <w:tblLayout w:type="fixed"/>
        <w:tblLook w:val="04A0" w:firstRow="1" w:lastRow="0" w:firstColumn="1" w:lastColumn="0" w:noHBand="0" w:noVBand="1"/>
      </w:tblPr>
      <w:tblGrid>
        <w:gridCol w:w="593"/>
        <w:gridCol w:w="676"/>
        <w:gridCol w:w="682"/>
        <w:gridCol w:w="709"/>
        <w:gridCol w:w="850"/>
        <w:gridCol w:w="851"/>
        <w:gridCol w:w="992"/>
        <w:gridCol w:w="1134"/>
        <w:gridCol w:w="992"/>
        <w:gridCol w:w="1276"/>
      </w:tblGrid>
      <w:tr w:rsidR="005C12A1" w:rsidRPr="004F01CD" w:rsidTr="004F0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593" w:type="dxa"/>
            <w:noWrap/>
            <w:hideMark/>
          </w:tcPr>
          <w:p w:rsidR="002C2707" w:rsidRPr="004F01CD" w:rsidRDefault="004369E3" w:rsidP="0027066B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proofErr w:type="spellStart"/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Dist</w:t>
            </w:r>
            <w:proofErr w:type="spellEnd"/>
            <w:r w:rsidR="00FF4514"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km</w:t>
            </w:r>
          </w:p>
        </w:tc>
        <w:tc>
          <w:tcPr>
            <w:tcW w:w="676" w:type="dxa"/>
            <w:noWrap/>
            <w:hideMark/>
          </w:tcPr>
          <w:p w:rsidR="002C2707" w:rsidRPr="004F01CD" w:rsidRDefault="002C2707" w:rsidP="0027066B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From BM</w:t>
            </w:r>
          </w:p>
        </w:tc>
        <w:tc>
          <w:tcPr>
            <w:tcW w:w="682" w:type="dxa"/>
            <w:noWrap/>
            <w:hideMark/>
          </w:tcPr>
          <w:p w:rsidR="002C2707" w:rsidRPr="004F01CD" w:rsidRDefault="002C2707" w:rsidP="0027066B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To BM</w:t>
            </w:r>
          </w:p>
        </w:tc>
        <w:tc>
          <w:tcPr>
            <w:tcW w:w="709" w:type="dxa"/>
            <w:noWrap/>
            <w:hideMark/>
          </w:tcPr>
          <w:p w:rsidR="002C2707" w:rsidRPr="004F01CD" w:rsidRDefault="004C7600" w:rsidP="004C7600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Total </w:t>
            </w:r>
            <w:proofErr w:type="spellStart"/>
            <w:r w:rsidR="002C2707"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Dist</w:t>
            </w:r>
            <w:proofErr w:type="spellEnd"/>
            <w:r w:rsidR="00FF4514"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gridSpan w:val="2"/>
            <w:noWrap/>
            <w:hideMark/>
          </w:tcPr>
          <w:p w:rsidR="002C2707" w:rsidRPr="004F01CD" w:rsidRDefault="002C2707" w:rsidP="0027066B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Difference in Elevation</w:t>
            </w:r>
          </w:p>
        </w:tc>
        <w:tc>
          <w:tcPr>
            <w:tcW w:w="4394" w:type="dxa"/>
            <w:gridSpan w:val="4"/>
            <w:noWrap/>
            <w:hideMark/>
          </w:tcPr>
          <w:p w:rsidR="002C2707" w:rsidRPr="004F01CD" w:rsidRDefault="002C2707" w:rsidP="0027066B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Forward/Backward Misclose Evaluation</w:t>
            </w:r>
          </w:p>
        </w:tc>
      </w:tr>
      <w:tr w:rsidR="005C12A1" w:rsidRPr="004F01CD" w:rsidTr="004F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tcW w:w="593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8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noWrap/>
            <w:hideMark/>
          </w:tcPr>
          <w:p w:rsidR="002C2707" w:rsidRPr="004F01CD" w:rsidRDefault="002C2707" w:rsidP="00FF4514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F</w:t>
            </w:r>
            <w:r w:rsidR="00FF4514"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w</w:t>
            </w: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d</w:t>
            </w:r>
            <w:proofErr w:type="spellEnd"/>
          </w:p>
        </w:tc>
        <w:tc>
          <w:tcPr>
            <w:tcW w:w="851" w:type="dxa"/>
            <w:noWrap/>
            <w:hideMark/>
          </w:tcPr>
          <w:p w:rsidR="002C2707" w:rsidRPr="004F01CD" w:rsidRDefault="00FF4514" w:rsidP="00FF4514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Bw</w:t>
            </w:r>
            <w:r w:rsidR="002C2707"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d</w:t>
            </w:r>
            <w:proofErr w:type="spellEnd"/>
          </w:p>
        </w:tc>
        <w:tc>
          <w:tcPr>
            <w:tcW w:w="99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Misclose</w:t>
            </w:r>
            <w:r w:rsidR="00FF4514"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Per Bay</w:t>
            </w:r>
          </w:p>
        </w:tc>
        <w:tc>
          <w:tcPr>
            <w:tcW w:w="1134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Allowable</w:t>
            </w:r>
            <w:r w:rsidR="00FF4514"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6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0"/>
                      <w:szCs w:val="20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0"/>
                      <w:szCs w:val="20"/>
                      <w:lang w:eastAsia="ar-SA"/>
                    </w:rPr>
                    <m:t>k</m:t>
                  </m:r>
                </m:e>
              </m:rad>
            </m:oMath>
            <w:r w:rsidR="007E2CA3" w:rsidRPr="004F01CD">
              <w:rPr>
                <w:rFonts w:asciiTheme="minorHAnsi" w:eastAsia="Lucida Sans Unicode" w:hAnsiTheme="minorHAnsi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  <w:noWrap/>
            <w:hideMark/>
          </w:tcPr>
          <w:p w:rsidR="002C2707" w:rsidRPr="004F01CD" w:rsidRDefault="002C2707" w:rsidP="004F01CD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Misc</w:t>
            </w:r>
            <w:r w:rsid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lose</w:t>
            </w:r>
            <w:r w:rsidR="00FF4514"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F4514"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Acc</w:t>
            </w:r>
            <w:proofErr w:type="spellEnd"/>
          </w:p>
        </w:tc>
        <w:tc>
          <w:tcPr>
            <w:tcW w:w="12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Allowable</w:t>
            </w:r>
            <w:r w:rsidR="00FF4514"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6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0"/>
                      <w:szCs w:val="20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0"/>
                      <w:szCs w:val="20"/>
                      <w:lang w:eastAsia="ar-SA"/>
                    </w:rPr>
                    <m:t>k</m:t>
                  </m:r>
                </m:e>
              </m:rad>
            </m:oMath>
            <w:r w:rsidR="007E2CA3" w:rsidRPr="004F01CD">
              <w:rPr>
                <w:rFonts w:asciiTheme="minorHAnsi" w:eastAsia="Lucida Sans Unicode" w:hAnsiTheme="minorHAnsi"/>
                <w:sz w:val="20"/>
                <w:szCs w:val="20"/>
                <w:lang w:eastAsia="ar-SA"/>
              </w:rPr>
              <w:t xml:space="preserve">  </w:t>
            </w:r>
          </w:p>
        </w:tc>
      </w:tr>
      <w:tr w:rsidR="005C12A1" w:rsidRPr="004F01CD" w:rsidTr="004F0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593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6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left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BM 1</w:t>
            </w:r>
          </w:p>
        </w:tc>
        <w:tc>
          <w:tcPr>
            <w:tcW w:w="68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right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BM 3</w:t>
            </w:r>
          </w:p>
        </w:tc>
        <w:tc>
          <w:tcPr>
            <w:tcW w:w="709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850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2.567</w:t>
            </w:r>
          </w:p>
        </w:tc>
        <w:tc>
          <w:tcPr>
            <w:tcW w:w="851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-2.571</w:t>
            </w:r>
          </w:p>
        </w:tc>
        <w:tc>
          <w:tcPr>
            <w:tcW w:w="99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-0.004</w:t>
            </w:r>
          </w:p>
        </w:tc>
        <w:tc>
          <w:tcPr>
            <w:tcW w:w="1134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0.006</w:t>
            </w:r>
          </w:p>
        </w:tc>
        <w:tc>
          <w:tcPr>
            <w:tcW w:w="99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-0.004</w:t>
            </w:r>
          </w:p>
        </w:tc>
        <w:tc>
          <w:tcPr>
            <w:tcW w:w="12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0.006</w:t>
            </w:r>
          </w:p>
        </w:tc>
      </w:tr>
      <w:tr w:rsidR="005C12A1" w:rsidRPr="004F01CD" w:rsidTr="004F0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593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0.56</w:t>
            </w:r>
          </w:p>
        </w:tc>
        <w:tc>
          <w:tcPr>
            <w:tcW w:w="6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left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BM 3</w:t>
            </w:r>
          </w:p>
        </w:tc>
        <w:tc>
          <w:tcPr>
            <w:tcW w:w="68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right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BM 4</w:t>
            </w:r>
          </w:p>
        </w:tc>
        <w:tc>
          <w:tcPr>
            <w:tcW w:w="709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1.60</w:t>
            </w:r>
          </w:p>
        </w:tc>
        <w:tc>
          <w:tcPr>
            <w:tcW w:w="850" w:type="dxa"/>
            <w:noWrap/>
            <w:hideMark/>
          </w:tcPr>
          <w:p w:rsidR="002C2707" w:rsidRPr="004F01CD" w:rsidRDefault="002C2707" w:rsidP="00F8270B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-1.24</w:t>
            </w:r>
            <w:r w:rsidR="00F8270B"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2C2707" w:rsidRPr="004F01CD" w:rsidRDefault="002C2707" w:rsidP="00F8270B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1.24</w:t>
            </w:r>
            <w:r w:rsidR="00F8270B"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0.002</w:t>
            </w:r>
          </w:p>
        </w:tc>
        <w:tc>
          <w:tcPr>
            <w:tcW w:w="1134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0.004</w:t>
            </w:r>
          </w:p>
        </w:tc>
        <w:tc>
          <w:tcPr>
            <w:tcW w:w="992" w:type="dxa"/>
            <w:noWrap/>
            <w:hideMark/>
          </w:tcPr>
          <w:p w:rsidR="002C2707" w:rsidRPr="004F01CD" w:rsidRDefault="002C2707" w:rsidP="00F8270B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-0.00</w:t>
            </w:r>
            <w:r w:rsidR="00F8270B"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0.008</w:t>
            </w:r>
          </w:p>
        </w:tc>
      </w:tr>
      <w:tr w:rsidR="005C12A1" w:rsidRPr="004F01CD" w:rsidTr="004F01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593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1.25</w:t>
            </w:r>
          </w:p>
        </w:tc>
        <w:tc>
          <w:tcPr>
            <w:tcW w:w="6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left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BM 4</w:t>
            </w:r>
          </w:p>
        </w:tc>
        <w:tc>
          <w:tcPr>
            <w:tcW w:w="68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right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BM 2</w:t>
            </w:r>
          </w:p>
        </w:tc>
        <w:tc>
          <w:tcPr>
            <w:tcW w:w="709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2.85</w:t>
            </w:r>
          </w:p>
        </w:tc>
        <w:tc>
          <w:tcPr>
            <w:tcW w:w="850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5.126</w:t>
            </w:r>
          </w:p>
        </w:tc>
        <w:tc>
          <w:tcPr>
            <w:tcW w:w="851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-5.123</w:t>
            </w:r>
          </w:p>
        </w:tc>
        <w:tc>
          <w:tcPr>
            <w:tcW w:w="992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1134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0.007</w:t>
            </w:r>
          </w:p>
        </w:tc>
        <w:tc>
          <w:tcPr>
            <w:tcW w:w="992" w:type="dxa"/>
            <w:noWrap/>
            <w:hideMark/>
          </w:tcPr>
          <w:p w:rsidR="002C2707" w:rsidRPr="004F01CD" w:rsidRDefault="002C2707" w:rsidP="00F8270B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0.00</w:t>
            </w:r>
            <w:r w:rsidR="00F8270B"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2C2707" w:rsidRPr="004F01CD" w:rsidRDefault="002C2707" w:rsidP="002C2707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0.010</w:t>
            </w:r>
          </w:p>
        </w:tc>
      </w:tr>
    </w:tbl>
    <w:p w:rsidR="004C696A" w:rsidRPr="005C12A1" w:rsidRDefault="00E5449F" w:rsidP="00215859">
      <w:pPr>
        <w:pStyle w:val="FigureandTableCaption"/>
        <w:ind w:left="0"/>
        <w:jc w:val="both"/>
        <w:rPr>
          <w:color w:val="auto"/>
        </w:rPr>
      </w:pPr>
      <w:r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>When connecting to datum</w:t>
      </w:r>
      <w:r w:rsidR="00382087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, </w:t>
      </w:r>
      <w:r w:rsidR="00D50C50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consideration needs to be given to the </w:t>
      </w:r>
      <w:r w:rsidR="00DF7DD7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quality </w:t>
      </w:r>
      <w:r w:rsidR="00D50C50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>of the existing heights that will be used as constraints in determining heights of the new marks.</w:t>
      </w:r>
      <w:r w:rsidR="006A4EF5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  The heights of the new marks cannot be assigned a </w:t>
      </w:r>
      <w:r w:rsidR="00591669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>quality</w:t>
      </w:r>
      <w:r w:rsidR="006A4EF5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 tha</w:t>
      </w:r>
      <w:r w:rsidR="0079201C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>t is better than</w:t>
      </w:r>
      <w:r w:rsidR="006A4EF5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 the </w:t>
      </w:r>
      <w:r w:rsidR="00591669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>quality</w:t>
      </w:r>
      <w:r w:rsidR="006A4EF5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 of the constrained height</w:t>
      </w:r>
      <w:r w:rsidR="005712AA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>s.</w:t>
      </w:r>
      <w:r w:rsidR="00FC5FF4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  The</w:t>
      </w:r>
      <w:r w:rsidR="007D5019" w:rsidRPr="005C12A1">
        <w:rPr>
          <w:rFonts w:ascii="Calibri" w:eastAsia="Lucida Sans Unicode" w:hAnsi="Calibri"/>
          <w:b w:val="0"/>
          <w:bCs w:val="0"/>
          <w:color w:val="auto"/>
          <w:sz w:val="23"/>
          <w:szCs w:val="23"/>
          <w:lang w:eastAsia="ar-SA"/>
        </w:rPr>
        <w:t xml:space="preserve"> traverse misclose between the known survey control marks is distributed proportionally, based on the distance levelled, to the unknown survey control </w:t>
      </w:r>
      <w:r w:rsidR="007D5019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t>marks.</w:t>
      </w:r>
      <w:r w:rsidR="00686CD8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t xml:space="preserve">  </w:t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fldChar w:fldCharType="begin"/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instrText xml:space="preserve"> REF _Ref363024149 \h  \* MERGEFORMAT </w:instrText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fldChar w:fldCharType="separate"/>
      </w:r>
      <w:r w:rsidR="00F256F5" w:rsidRPr="00F256F5">
        <w:rPr>
          <w:rFonts w:asciiTheme="minorHAnsi" w:hAnsiTheme="minorHAnsi"/>
          <w:b w:val="0"/>
          <w:color w:val="auto"/>
          <w:sz w:val="23"/>
          <w:szCs w:val="23"/>
        </w:rPr>
        <w:t xml:space="preserve">Table </w:t>
      </w:r>
      <w:r w:rsidR="00F256F5" w:rsidRPr="00F256F5">
        <w:rPr>
          <w:rFonts w:asciiTheme="minorHAnsi" w:hAnsiTheme="minorHAnsi"/>
          <w:b w:val="0"/>
          <w:noProof/>
          <w:color w:val="auto"/>
          <w:sz w:val="23"/>
          <w:szCs w:val="23"/>
        </w:rPr>
        <w:t>6</w:t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fldChar w:fldCharType="end"/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t xml:space="preserve"> </w:t>
      </w:r>
      <w:r w:rsidR="00686CD8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t>shows the evaluation and adjustment of the traverse misclose, based on the example in</w:t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t xml:space="preserve"> </w:t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fldChar w:fldCharType="begin"/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instrText xml:space="preserve"> REF _Ref363024068 \h  \* MERGEFORMAT </w:instrText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fldChar w:fldCharType="separate"/>
      </w:r>
      <w:r w:rsidR="00F256F5" w:rsidRPr="00F256F5">
        <w:rPr>
          <w:rFonts w:asciiTheme="minorHAnsi" w:hAnsiTheme="minorHAnsi"/>
          <w:b w:val="0"/>
          <w:color w:val="auto"/>
          <w:sz w:val="23"/>
          <w:szCs w:val="23"/>
        </w:rPr>
        <w:t xml:space="preserve">Figure </w:t>
      </w:r>
      <w:r w:rsidR="00F256F5" w:rsidRPr="00F256F5">
        <w:rPr>
          <w:rFonts w:asciiTheme="minorHAnsi" w:hAnsiTheme="minorHAnsi"/>
          <w:b w:val="0"/>
          <w:noProof/>
          <w:color w:val="auto"/>
          <w:sz w:val="23"/>
          <w:szCs w:val="23"/>
        </w:rPr>
        <w:t>1</w:t>
      </w:r>
      <w:r w:rsidR="00A564B2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fldChar w:fldCharType="end"/>
      </w:r>
      <w:r w:rsidR="00686CD8" w:rsidRPr="005C12A1">
        <w:rPr>
          <w:rFonts w:asciiTheme="minorHAnsi" w:eastAsia="Lucida Sans Unicode" w:hAnsiTheme="minorHAnsi"/>
          <w:b w:val="0"/>
          <w:bCs w:val="0"/>
          <w:color w:val="auto"/>
          <w:sz w:val="23"/>
          <w:szCs w:val="23"/>
          <w:lang w:eastAsia="ar-SA"/>
        </w:rPr>
        <w:t>.</w:t>
      </w:r>
    </w:p>
    <w:p w:rsidR="00A564B2" w:rsidRPr="005C12A1" w:rsidRDefault="00A564B2" w:rsidP="00A564B2">
      <w:pPr>
        <w:pStyle w:val="Caption"/>
        <w:keepNext/>
      </w:pPr>
      <w:bookmarkStart w:id="109" w:name="_Ref363024149"/>
      <w:bookmarkStart w:id="110" w:name="_Toc399488995"/>
      <w:r w:rsidRPr="005C12A1">
        <w:t xml:space="preserve">Table </w:t>
      </w:r>
      <w:r w:rsidR="00882D6D">
        <w:fldChar w:fldCharType="begin"/>
      </w:r>
      <w:r w:rsidR="00882D6D">
        <w:instrText xml:space="preserve"> SEQ Table \* ARABIC </w:instrText>
      </w:r>
      <w:r w:rsidR="00882D6D">
        <w:fldChar w:fldCharType="separate"/>
      </w:r>
      <w:r w:rsidR="00F256F5">
        <w:rPr>
          <w:noProof/>
        </w:rPr>
        <w:t>6</w:t>
      </w:r>
      <w:r w:rsidR="00882D6D">
        <w:rPr>
          <w:noProof/>
        </w:rPr>
        <w:fldChar w:fldCharType="end"/>
      </w:r>
      <w:bookmarkEnd w:id="109"/>
      <w:r w:rsidRPr="005C12A1">
        <w:t>: Evaluating and adjusting the traverse misclose</w:t>
      </w:r>
      <w:bookmarkEnd w:id="110"/>
    </w:p>
    <w:tbl>
      <w:tblPr>
        <w:tblStyle w:val="TableContemporary"/>
        <w:tblW w:w="8729" w:type="dxa"/>
        <w:tblLook w:val="04A0" w:firstRow="1" w:lastRow="0" w:firstColumn="1" w:lastColumn="0" w:noHBand="0" w:noVBand="1"/>
      </w:tblPr>
      <w:tblGrid>
        <w:gridCol w:w="931"/>
        <w:gridCol w:w="657"/>
        <w:gridCol w:w="657"/>
        <w:gridCol w:w="1199"/>
        <w:gridCol w:w="1074"/>
        <w:gridCol w:w="1193"/>
        <w:gridCol w:w="1013"/>
        <w:gridCol w:w="1044"/>
        <w:gridCol w:w="961"/>
      </w:tblGrid>
      <w:tr w:rsidR="0027066B" w:rsidRPr="004F01CD" w:rsidTr="00835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931" w:type="dxa"/>
            <w:tcBorders>
              <w:top w:val="nil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Distance km</w:t>
            </w:r>
          </w:p>
        </w:tc>
        <w:tc>
          <w:tcPr>
            <w:tcW w:w="657" w:type="dxa"/>
            <w:tcBorders>
              <w:top w:val="nil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From Mark</w:t>
            </w:r>
          </w:p>
        </w:tc>
        <w:tc>
          <w:tcPr>
            <w:tcW w:w="657" w:type="dxa"/>
            <w:tcBorders>
              <w:top w:val="nil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To Mark</w:t>
            </w:r>
          </w:p>
        </w:tc>
        <w:tc>
          <w:tcPr>
            <w:tcW w:w="1199" w:type="dxa"/>
            <w:tcBorders>
              <w:top w:val="nil"/>
            </w:tcBorders>
            <w:noWrap/>
            <w:hideMark/>
          </w:tcPr>
          <w:p w:rsidR="0027066B" w:rsidRPr="004F01CD" w:rsidRDefault="004C7600" w:rsidP="0027066B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Total Dist</w:t>
            </w:r>
          </w:p>
        </w:tc>
        <w:tc>
          <w:tcPr>
            <w:tcW w:w="1074" w:type="dxa"/>
            <w:tcBorders>
              <w:top w:val="nil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Calibrated Mean </w:t>
            </w:r>
            <w:proofErr w:type="spellStart"/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Ht</w:t>
            </w:r>
            <w:proofErr w:type="spellEnd"/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Diff</w:t>
            </w:r>
          </w:p>
        </w:tc>
        <w:tc>
          <w:tcPr>
            <w:tcW w:w="1193" w:type="dxa"/>
            <w:tcBorders>
              <w:top w:val="nil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Adjustment Closure</w:t>
            </w:r>
          </w:p>
        </w:tc>
        <w:tc>
          <w:tcPr>
            <w:tcW w:w="3018" w:type="dxa"/>
            <w:gridSpan w:val="3"/>
            <w:tcBorders>
              <w:top w:val="nil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 w:val="0"/>
                <w:bCs w:val="0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Elevation Above AHD</w:t>
            </w:r>
          </w:p>
        </w:tc>
      </w:tr>
      <w:tr w:rsidR="0027066B" w:rsidRPr="004F01CD" w:rsidTr="0083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tcW w:w="931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93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13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Observed</w:t>
            </w:r>
          </w:p>
        </w:tc>
        <w:tc>
          <w:tcPr>
            <w:tcW w:w="1044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Mark</w:t>
            </w:r>
          </w:p>
        </w:tc>
        <w:tc>
          <w:tcPr>
            <w:tcW w:w="961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Adjusted</w:t>
            </w:r>
          </w:p>
        </w:tc>
      </w:tr>
      <w:tr w:rsidR="0027066B" w:rsidRPr="004F01CD" w:rsidTr="0083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931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657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13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27066B" w:rsidRPr="004F01CD" w:rsidRDefault="0027066B" w:rsidP="00AD6DAA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 1</w:t>
            </w:r>
          </w:p>
        </w:tc>
        <w:tc>
          <w:tcPr>
            <w:tcW w:w="961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vertAlign w:val="superscript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15.296</w:t>
            </w: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vertAlign w:val="superscript"/>
                <w:lang w:val="en-US" w:eastAsia="en-US"/>
              </w:rPr>
              <w:t>#</w:t>
            </w:r>
          </w:p>
        </w:tc>
      </w:tr>
      <w:tr w:rsidR="0027066B" w:rsidRPr="004F01CD" w:rsidTr="0083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931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657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lef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 1</w:t>
            </w:r>
          </w:p>
        </w:tc>
        <w:tc>
          <w:tcPr>
            <w:tcW w:w="657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 3</w:t>
            </w:r>
          </w:p>
        </w:tc>
        <w:tc>
          <w:tcPr>
            <w:tcW w:w="1199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1.04</w:t>
            </w:r>
          </w:p>
        </w:tc>
        <w:tc>
          <w:tcPr>
            <w:tcW w:w="1074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2.569</w:t>
            </w:r>
          </w:p>
        </w:tc>
        <w:tc>
          <w:tcPr>
            <w:tcW w:w="1193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1013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17.865</w:t>
            </w:r>
          </w:p>
        </w:tc>
        <w:tc>
          <w:tcPr>
            <w:tcW w:w="1044" w:type="dxa"/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 3</w:t>
            </w:r>
          </w:p>
        </w:tc>
        <w:tc>
          <w:tcPr>
            <w:tcW w:w="961" w:type="dxa"/>
            <w:noWrap/>
            <w:hideMark/>
          </w:tcPr>
          <w:p w:rsidR="0027066B" w:rsidRPr="004F01CD" w:rsidRDefault="0027066B" w:rsidP="0079201C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17.868</w:t>
            </w:r>
          </w:p>
        </w:tc>
      </w:tr>
      <w:tr w:rsidR="0027066B" w:rsidRPr="004F01CD" w:rsidTr="0083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931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0.56</w:t>
            </w:r>
          </w:p>
        </w:tc>
        <w:tc>
          <w:tcPr>
            <w:tcW w:w="657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lef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 3</w:t>
            </w:r>
          </w:p>
        </w:tc>
        <w:tc>
          <w:tcPr>
            <w:tcW w:w="657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 4</w:t>
            </w:r>
          </w:p>
        </w:tc>
        <w:tc>
          <w:tcPr>
            <w:tcW w:w="1199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1.60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-1.246</w:t>
            </w:r>
          </w:p>
        </w:tc>
        <w:tc>
          <w:tcPr>
            <w:tcW w:w="1193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0.004</w:t>
            </w:r>
          </w:p>
        </w:tc>
        <w:tc>
          <w:tcPr>
            <w:tcW w:w="1013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16.619</w:t>
            </w:r>
          </w:p>
        </w:tc>
        <w:tc>
          <w:tcPr>
            <w:tcW w:w="1044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 4</w:t>
            </w:r>
          </w:p>
        </w:tc>
        <w:tc>
          <w:tcPr>
            <w:tcW w:w="961" w:type="dxa"/>
            <w:tcBorders>
              <w:bottom w:val="single" w:sz="18" w:space="0" w:color="FFFFFF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16.623</w:t>
            </w:r>
          </w:p>
        </w:tc>
      </w:tr>
      <w:tr w:rsidR="0027066B" w:rsidRPr="004F01CD" w:rsidTr="0083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931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1.25</w:t>
            </w:r>
          </w:p>
        </w:tc>
        <w:tc>
          <w:tcPr>
            <w:tcW w:w="657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lef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 4</w:t>
            </w:r>
          </w:p>
        </w:tc>
        <w:tc>
          <w:tcPr>
            <w:tcW w:w="657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 2</w:t>
            </w:r>
          </w:p>
        </w:tc>
        <w:tc>
          <w:tcPr>
            <w:tcW w:w="1199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2.85</w:t>
            </w:r>
          </w:p>
        </w:tc>
        <w:tc>
          <w:tcPr>
            <w:tcW w:w="1074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5.124</w:t>
            </w:r>
          </w:p>
        </w:tc>
        <w:tc>
          <w:tcPr>
            <w:tcW w:w="1193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0.007</w:t>
            </w:r>
          </w:p>
        </w:tc>
        <w:tc>
          <w:tcPr>
            <w:tcW w:w="1013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21.743</w:t>
            </w:r>
          </w:p>
        </w:tc>
        <w:tc>
          <w:tcPr>
            <w:tcW w:w="1044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BM 2</w:t>
            </w:r>
          </w:p>
        </w:tc>
        <w:tc>
          <w:tcPr>
            <w:tcW w:w="961" w:type="dxa"/>
            <w:tcBorders>
              <w:top w:val="single" w:sz="18" w:space="0" w:color="FFFFFF"/>
              <w:bottom w:val="double" w:sz="4" w:space="0" w:color="auto"/>
            </w:tcBorders>
            <w:noWrap/>
            <w:hideMark/>
          </w:tcPr>
          <w:p w:rsidR="0027066B" w:rsidRPr="004F01CD" w:rsidRDefault="0027066B" w:rsidP="00E5449F">
            <w:pPr>
              <w:spacing w:before="0" w:after="0"/>
              <w:jc w:val="center"/>
              <w:rPr>
                <w:rFonts w:asciiTheme="minorHAnsi" w:hAnsiTheme="minorHAnsi" w:cs="Consolas"/>
                <w:b/>
                <w:bCs/>
                <w:sz w:val="20"/>
                <w:szCs w:val="20"/>
                <w:vertAlign w:val="superscript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lang w:val="en-US" w:eastAsia="en-US"/>
              </w:rPr>
              <w:t>21.750</w:t>
            </w:r>
            <w:r w:rsidRPr="004F01CD">
              <w:rPr>
                <w:rFonts w:asciiTheme="minorHAnsi" w:hAnsiTheme="minorHAnsi" w:cs="Consolas"/>
                <w:b/>
                <w:bCs/>
                <w:sz w:val="20"/>
                <w:szCs w:val="20"/>
                <w:vertAlign w:val="superscript"/>
                <w:lang w:val="en-US" w:eastAsia="en-US"/>
              </w:rPr>
              <w:t>#</w:t>
            </w:r>
          </w:p>
        </w:tc>
      </w:tr>
      <w:tr w:rsidR="008353FF" w:rsidRPr="004F01CD" w:rsidTr="00835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tcW w:w="6724" w:type="dxa"/>
            <w:gridSpan w:val="7"/>
            <w:vMerge w:val="restart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8353FF" w:rsidRPr="004F01CD" w:rsidRDefault="008353FF" w:rsidP="008353F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  </w:t>
            </w:r>
          </w:p>
        </w:tc>
        <w:tc>
          <w:tcPr>
            <w:tcW w:w="1044" w:type="dxa"/>
            <w:tcBorders>
              <w:top w:val="double" w:sz="4" w:space="0" w:color="auto"/>
            </w:tcBorders>
            <w:noWrap/>
            <w:hideMark/>
          </w:tcPr>
          <w:p w:rsidR="008353FF" w:rsidRPr="004F01CD" w:rsidRDefault="008353FF" w:rsidP="0027066B">
            <w:pPr>
              <w:spacing w:before="0" w:after="0"/>
              <w:jc w:val="right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misclose</w:t>
            </w:r>
          </w:p>
        </w:tc>
        <w:tc>
          <w:tcPr>
            <w:tcW w:w="961" w:type="dxa"/>
            <w:tcBorders>
              <w:top w:val="double" w:sz="4" w:space="0" w:color="auto"/>
            </w:tcBorders>
            <w:noWrap/>
            <w:hideMark/>
          </w:tcPr>
          <w:p w:rsidR="008353FF" w:rsidRPr="004F01CD" w:rsidRDefault="008353FF" w:rsidP="008353F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-0.007</w:t>
            </w:r>
          </w:p>
        </w:tc>
      </w:tr>
      <w:tr w:rsidR="008353FF" w:rsidRPr="004F01CD" w:rsidTr="00835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6724" w:type="dxa"/>
            <w:gridSpan w:val="7"/>
            <w:vMerge/>
            <w:tcBorders>
              <w:bottom w:val="nil"/>
            </w:tcBorders>
            <w:shd w:val="clear" w:color="auto" w:fill="auto"/>
            <w:noWrap/>
          </w:tcPr>
          <w:p w:rsidR="008353FF" w:rsidRPr="004F01CD" w:rsidRDefault="008353FF" w:rsidP="00E5449F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bottom w:val="nil"/>
            </w:tcBorders>
            <w:noWrap/>
          </w:tcPr>
          <w:p w:rsidR="008353FF" w:rsidRPr="004F01CD" w:rsidRDefault="008353FF" w:rsidP="0027066B">
            <w:pPr>
              <w:spacing w:before="0" w:after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12</w:t>
            </w:r>
            <m:oMath>
              <m:rad>
                <m:radPr>
                  <m:degHide m:val="1"/>
                  <m:ctrlPr>
                    <w:rPr>
                      <w:rFonts w:ascii="Cambria Math" w:eastAsia="Lucida Sans Unicode" w:hAnsi="Cambria Math"/>
                      <w:sz w:val="20"/>
                      <w:szCs w:val="20"/>
                      <w:lang w:eastAsia="ar-SA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Lucida Sans Unicode" w:hAnsi="Cambria Math"/>
                      <w:sz w:val="20"/>
                      <w:szCs w:val="20"/>
                      <w:lang w:eastAsia="ar-SA"/>
                    </w:rPr>
                    <m:t>k</m:t>
                  </m:r>
                </m:e>
              </m:rad>
            </m:oMath>
            <w:r w:rsidRPr="004F01CD">
              <w:rPr>
                <w:rFonts w:asciiTheme="minorHAnsi" w:eastAsia="Lucida Sans Unicode" w:hAnsiTheme="minorHAnsi"/>
                <w:sz w:val="20"/>
                <w:szCs w:val="20"/>
                <w:lang w:eastAsia="ar-SA"/>
              </w:rPr>
              <w:t xml:space="preserve">  </w:t>
            </w:r>
            <w:r w:rsidRPr="004F01C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allowable </w:t>
            </w:r>
          </w:p>
        </w:tc>
        <w:tc>
          <w:tcPr>
            <w:tcW w:w="961" w:type="dxa"/>
            <w:tcBorders>
              <w:bottom w:val="nil"/>
            </w:tcBorders>
            <w:noWrap/>
          </w:tcPr>
          <w:p w:rsidR="008353FF" w:rsidRPr="004F01CD" w:rsidRDefault="008353FF" w:rsidP="008353FF">
            <w:pPr>
              <w:spacing w:before="0" w:after="0"/>
              <w:jc w:val="center"/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</w:pPr>
            <w:r w:rsidRPr="004F01CD">
              <w:rPr>
                <w:rFonts w:asciiTheme="minorHAnsi" w:hAnsiTheme="minorHAnsi" w:cs="Consolas"/>
                <w:sz w:val="20"/>
                <w:szCs w:val="20"/>
                <w:lang w:val="en-US" w:eastAsia="en-US"/>
              </w:rPr>
              <w:t>0.020</w:t>
            </w:r>
          </w:p>
        </w:tc>
      </w:tr>
    </w:tbl>
    <w:p w:rsidR="0027066B" w:rsidRPr="0027066B" w:rsidRDefault="0027066B" w:rsidP="00215859">
      <w:r>
        <w:rPr>
          <w:vertAlign w:val="superscript"/>
        </w:rPr>
        <w:t>#</w:t>
      </w:r>
      <w:r w:rsidRPr="0027066B">
        <w:rPr>
          <w:rFonts w:asciiTheme="minorHAnsi" w:hAnsiTheme="minorHAnsi" w:cs="Arial"/>
          <w:b/>
          <w:bCs/>
          <w:sz w:val="18"/>
          <w:szCs w:val="22"/>
          <w:lang w:val="en-US" w:eastAsia="en-US"/>
        </w:rPr>
        <w:t xml:space="preserve"> Existing 12</w:t>
      </w:r>
      <m:oMath>
        <m:rad>
          <m:radPr>
            <m:degHide m:val="1"/>
            <m:ctrlPr>
              <w:rPr>
                <w:rFonts w:ascii="Cambria Math" w:eastAsia="Lucida Sans Unicode" w:hAnsi="Cambria Math"/>
                <w:sz w:val="18"/>
                <w:szCs w:val="22"/>
                <w:lang w:eastAsia="ar-S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Lucida Sans Unicode" w:hAnsi="Cambria Math"/>
                <w:sz w:val="18"/>
                <w:szCs w:val="22"/>
                <w:lang w:eastAsia="ar-SA"/>
              </w:rPr>
              <m:t>k</m:t>
            </m:r>
          </m:e>
        </m:rad>
      </m:oMath>
      <w:r w:rsidRPr="0027066B">
        <w:rPr>
          <w:rFonts w:asciiTheme="minorHAnsi" w:eastAsia="Lucida Sans Unicode" w:hAnsiTheme="minorHAnsi"/>
          <w:sz w:val="18"/>
          <w:szCs w:val="22"/>
          <w:lang w:eastAsia="ar-SA"/>
        </w:rPr>
        <w:t xml:space="preserve">  </w:t>
      </w:r>
      <w:r w:rsidRPr="0027066B">
        <w:rPr>
          <w:rFonts w:asciiTheme="minorHAnsi" w:hAnsiTheme="minorHAnsi" w:cs="Arial"/>
          <w:b/>
          <w:bCs/>
          <w:sz w:val="18"/>
          <w:szCs w:val="22"/>
          <w:lang w:val="en-US" w:eastAsia="en-US"/>
        </w:rPr>
        <w:t xml:space="preserve"> Mark</w:t>
      </w:r>
    </w:p>
    <w:p w:rsidR="003A3249" w:rsidRPr="005C12A1" w:rsidRDefault="0079294D" w:rsidP="00215859">
      <w:r w:rsidRPr="005C12A1">
        <w:t xml:space="preserve">Least square adjustments should be used for more </w:t>
      </w:r>
      <w:r w:rsidR="00B10D2A" w:rsidRPr="005C12A1">
        <w:t>complex differential levelling networks</w:t>
      </w:r>
      <w:r w:rsidRPr="005C12A1">
        <w:t>, to ensure that any misclose is appropriately apportioned within the network.</w:t>
      </w:r>
      <w:r w:rsidR="0099501D" w:rsidRPr="005C12A1">
        <w:t xml:space="preserve">  When using least square adjustment</w:t>
      </w:r>
      <w:r w:rsidR="00C70E07" w:rsidRPr="005C12A1">
        <w:t xml:space="preserve">, the residuals on the observed height differences and the accumulated residuals between known survey control marks need to be evaluated to determine </w:t>
      </w:r>
      <w:r w:rsidR="0009201C" w:rsidRPr="005C12A1">
        <w:t xml:space="preserve">if the survey has achieved the </w:t>
      </w:r>
      <w:r w:rsidR="00CC3CDA" w:rsidRPr="005C12A1">
        <w:t>recommended</w:t>
      </w:r>
      <w:r w:rsidR="00863F94" w:rsidRPr="005C12A1">
        <w:t xml:space="preserve"> outcome of n</w:t>
      </w:r>
      <m:oMath>
        <m:rad>
          <m:radPr>
            <m:degHide m:val="1"/>
            <m:ctrlPr>
              <w:rPr>
                <w:rFonts w:ascii="Cambria Math" w:eastAsia="Lucida Sans Unicode" w:hAnsi="Cambria Math"/>
                <w:sz w:val="22"/>
                <w:szCs w:val="22"/>
                <w:lang w:eastAsia="ar-SA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Lucida Sans Unicode" w:hAnsi="Cambria Math"/>
                <w:sz w:val="22"/>
                <w:szCs w:val="22"/>
                <w:lang w:eastAsia="ar-SA"/>
              </w:rPr>
              <m:t>k</m:t>
            </m:r>
          </m:e>
        </m:rad>
      </m:oMath>
      <w:r w:rsidR="00632EC9">
        <w:rPr>
          <w:rFonts w:eastAsia="Lucida Sans Unicode"/>
          <w:sz w:val="22"/>
          <w:szCs w:val="22"/>
          <w:lang w:eastAsia="ar-SA"/>
        </w:rPr>
        <w:t xml:space="preserve">  </w:t>
      </w:r>
      <w:r w:rsidR="0009201C" w:rsidRPr="005C12A1">
        <w:rPr>
          <w:rFonts w:cs="Arial"/>
          <w:szCs w:val="23"/>
          <w:lang w:val="en-US" w:eastAsia="en-US"/>
        </w:rPr>
        <w:t>.</w:t>
      </w:r>
      <w:r w:rsidR="00711E7F" w:rsidRPr="005C12A1">
        <w:rPr>
          <w:rFonts w:cs="Arial"/>
          <w:szCs w:val="23"/>
          <w:lang w:val="en-US" w:eastAsia="en-US"/>
        </w:rPr>
        <w:t xml:space="preserve">  </w:t>
      </w:r>
    </w:p>
    <w:sectPr w:rsidR="003A3249" w:rsidRPr="005C12A1" w:rsidSect="00DB089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559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12" w:rsidRDefault="00087112">
      <w:r>
        <w:separator/>
      </w:r>
    </w:p>
  </w:endnote>
  <w:endnote w:type="continuationSeparator" w:id="0">
    <w:p w:rsidR="00087112" w:rsidRDefault="0008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altName w:val="ESRI Geology BMRGG PT1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12" w:rsidRPr="00FE58D2" w:rsidRDefault="00882D6D" w:rsidP="00A30C8B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"Document name" \* MERGEFORMAT </w:instrText>
    </w:r>
    <w:r>
      <w:fldChar w:fldCharType="separate"/>
    </w:r>
    <w:r w:rsidR="00F256F5">
      <w:t>Guideline for Control Surveys by Differential Levelling – SP1</w:t>
    </w:r>
    <w:r>
      <w:fldChar w:fldCharType="end"/>
    </w:r>
    <w:r w:rsidR="00087112">
      <w:tab/>
    </w:r>
    <w:r w:rsidR="00087112">
      <w:fldChar w:fldCharType="begin"/>
    </w:r>
    <w:r w:rsidR="00087112">
      <w:instrText xml:space="preserve"> PAGE </w:instrText>
    </w:r>
    <w:r w:rsidR="00087112">
      <w:fldChar w:fldCharType="separate"/>
    </w:r>
    <w:r>
      <w:rPr>
        <w:noProof/>
      </w:rPr>
      <w:t>2</w:t>
    </w:r>
    <w:r w:rsidR="00087112">
      <w:fldChar w:fldCharType="end"/>
    </w:r>
  </w:p>
  <w:p w:rsidR="00087112" w:rsidRDefault="00882D6D" w:rsidP="00C637B1">
    <w:pPr>
      <w:pStyle w:val="Footer"/>
      <w:tabs>
        <w:tab w:val="clear" w:pos="4153"/>
        <w:tab w:val="clear" w:pos="8306"/>
        <w:tab w:val="left" w:pos="2351"/>
      </w:tabs>
    </w:pPr>
    <w:r>
      <w:fldChar w:fldCharType="begin"/>
    </w:r>
    <w:r>
      <w:instrText xml:space="preserve"> DOCPROPERTY  Version  \* MERGEFORMAT </w:instrText>
    </w:r>
    <w:r>
      <w:fldChar w:fldCharType="separate"/>
    </w:r>
    <w:r w:rsidR="00A7714C">
      <w:t>Version 2.1</w:t>
    </w:r>
    <w:r>
      <w:fldChar w:fldCharType="end"/>
    </w:r>
    <w:r w:rsidR="0008711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12" w:rsidRDefault="00882D6D" w:rsidP="00486B89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"ICSM" \* MERGEFORMAT </w:instrText>
    </w:r>
    <w:r>
      <w:fldChar w:fldCharType="separate"/>
    </w:r>
    <w:r w:rsidR="00F256F5">
      <w:t>Intergovernmental Committee on Surveying and Mapping</w:t>
    </w:r>
    <w:r>
      <w:fldChar w:fldCharType="end"/>
    </w:r>
    <w:r w:rsidR="00087112">
      <w:tab/>
    </w:r>
    <w:r w:rsidR="00087112">
      <w:fldChar w:fldCharType="begin"/>
    </w:r>
    <w:r w:rsidR="00087112">
      <w:instrText xml:space="preserve"> PAGE </w:instrText>
    </w:r>
    <w:r w:rsidR="00087112">
      <w:fldChar w:fldCharType="separate"/>
    </w:r>
    <w:r>
      <w:rPr>
        <w:noProof/>
      </w:rPr>
      <w:t>1</w:t>
    </w:r>
    <w:r w:rsidR="00087112">
      <w:fldChar w:fldCharType="end"/>
    </w:r>
  </w:p>
  <w:p w:rsidR="00087112" w:rsidRPr="00FE58D2" w:rsidRDefault="00882D6D" w:rsidP="00486B89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"Document name" \* MERGEFORMAT </w:instrText>
    </w:r>
    <w:r>
      <w:fldChar w:fldCharType="separate"/>
    </w:r>
    <w:r w:rsidR="00F256F5">
      <w:t>Guideline for Control Surveys by Differential Levelling – SP1</w:t>
    </w:r>
    <w:r>
      <w:fldChar w:fldCharType="end"/>
    </w:r>
  </w:p>
  <w:p w:rsidR="00087112" w:rsidRDefault="00882D6D" w:rsidP="00486B89">
    <w:pPr>
      <w:pStyle w:val="Footer"/>
      <w:tabs>
        <w:tab w:val="clear" w:pos="4153"/>
        <w:tab w:val="clear" w:pos="8306"/>
        <w:tab w:val="right" w:pos="8505"/>
      </w:tabs>
    </w:pPr>
    <w:r>
      <w:fldChar w:fldCharType="begin"/>
    </w:r>
    <w:r>
      <w:instrText xml:space="preserve"> docproperty "version" \* MERGEFORMAT </w:instrText>
    </w:r>
    <w:r>
      <w:fldChar w:fldCharType="separate"/>
    </w:r>
    <w:r w:rsidR="00A7714C">
      <w:t>Version 2.1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12" w:rsidRDefault="00087112">
      <w:r>
        <w:separator/>
      </w:r>
    </w:p>
  </w:footnote>
  <w:footnote w:type="continuationSeparator" w:id="0">
    <w:p w:rsidR="00087112" w:rsidRDefault="0008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12" w:rsidRDefault="00882D6D" w:rsidP="00865962">
    <w:pPr>
      <w:pStyle w:val="HeaderImage"/>
      <w:tabs>
        <w:tab w:val="clear" w:pos="4153"/>
        <w:tab w:val="clear" w:pos="8306"/>
      </w:tabs>
    </w:pPr>
    <w:r>
      <w:fldChar w:fldCharType="begin"/>
    </w:r>
    <w:r>
      <w:instrText xml:space="preserve"> DocProperty "ICSM" \* MERGEFORMAT </w:instrText>
    </w:r>
    <w:r>
      <w:fldChar w:fldCharType="separate"/>
    </w:r>
    <w:r w:rsidR="00F256F5">
      <w:t>Intergovernmental Committee on Surveying and Mapping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12" w:rsidRDefault="00087112" w:rsidP="001D6CAC">
    <w:pPr>
      <w:pStyle w:val="HeaderImag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262071"/>
    <w:multiLevelType w:val="multilevel"/>
    <w:tmpl w:val="402677BA"/>
    <w:lvl w:ilvl="0">
      <w:start w:val="1"/>
      <w:numFmt w:val="decimal"/>
      <w:pStyle w:val="Heading1"/>
      <w:lvlText w:val="%1"/>
      <w:lvlJc w:val="left"/>
      <w:pPr>
        <w:tabs>
          <w:tab w:val="num" w:pos="889"/>
        </w:tabs>
        <w:ind w:left="889" w:hanging="709"/>
      </w:pPr>
      <w:rPr>
        <w:rFonts w:ascii="Verdana" w:hAnsi="Verdana" w:cs="Copperplate Gothic Bold" w:hint="default"/>
        <w:b/>
        <w:i w:val="0"/>
        <w:caps w:val="0"/>
        <w:color w:val="4F6228" w:themeColor="accent3" w:themeShade="80"/>
        <w:spacing w:val="40"/>
        <w:w w:val="100"/>
        <w:sz w:val="30"/>
        <w:szCs w:val="3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olor w:val="4F6228" w:themeColor="accent3" w:themeShade="8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color w:val="4F6228" w:themeColor="accent3" w:themeShade="80"/>
        <w:sz w:val="25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Copperplate Gothic Bold" w:hint="default"/>
        <w:b/>
        <w:i w:val="0"/>
        <w:caps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1C0627"/>
    <w:multiLevelType w:val="multilevel"/>
    <w:tmpl w:val="A1385F1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Verdana" w:hAnsi="Verdana" w:cs="Copperplate Gothic Bold" w:hint="default"/>
        <w:b/>
        <w:i w:val="0"/>
        <w:caps w:val="0"/>
        <w:color w:val="003300"/>
        <w:spacing w:val="4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09"/>
      </w:pPr>
      <w:rPr>
        <w:rFonts w:ascii="Verdana" w:hAnsi="Verdana" w:hint="default"/>
        <w:b w:val="0"/>
        <w:i w:val="0"/>
        <w:color w:val="0033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color w:val="0033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Copperplate Gothic Bold" w:hint="default"/>
        <w:b/>
        <w:i w:val="0"/>
        <w:caps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E451D5"/>
    <w:multiLevelType w:val="multilevel"/>
    <w:tmpl w:val="F7C4C9FE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662"/>
        </w:tabs>
        <w:ind w:left="1662" w:hanging="375"/>
      </w:pPr>
      <w:rPr>
        <w:rFonts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421"/>
        </w:tabs>
        <w:ind w:left="2421" w:hanging="567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</w:abstractNum>
  <w:abstractNum w:abstractNumId="4">
    <w:nsid w:val="0CA67219"/>
    <w:multiLevelType w:val="hybridMultilevel"/>
    <w:tmpl w:val="B5667C9C"/>
    <w:lvl w:ilvl="0" w:tplc="7F5E9594">
      <w:start w:val="1"/>
      <w:numFmt w:val="none"/>
      <w:lvlText w:val="Appendix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0530"/>
    <w:multiLevelType w:val="multilevel"/>
    <w:tmpl w:val="CF12A55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3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F64D99"/>
    <w:multiLevelType w:val="multilevel"/>
    <w:tmpl w:val="2BD4C05A"/>
    <w:numStyleLink w:val="StyleOutlinenumbered"/>
  </w:abstractNum>
  <w:abstractNum w:abstractNumId="7">
    <w:nsid w:val="19B20729"/>
    <w:multiLevelType w:val="multilevel"/>
    <w:tmpl w:val="CF3CD90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Verdana" w:hAnsi="Verdana" w:cs="Copperplate Gothic Bold" w:hint="default"/>
        <w:b/>
        <w:i w:val="0"/>
        <w:caps w:val="0"/>
        <w:color w:val="003300"/>
        <w:spacing w:val="4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09"/>
      </w:pPr>
      <w:rPr>
        <w:rFonts w:ascii="Verdana" w:hAnsi="Verdana" w:hint="default"/>
        <w:b w:val="0"/>
        <w:i w:val="0"/>
        <w:color w:val="0033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color w:val="0033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Copperplate Gothic Bold" w:hint="default"/>
        <w:b/>
        <w:i w:val="0"/>
        <w:caps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B266B9"/>
    <w:multiLevelType w:val="multilevel"/>
    <w:tmpl w:val="2BD4C05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2022"/>
        </w:tabs>
        <w:ind w:left="2022" w:hanging="375"/>
      </w:pPr>
      <w:rPr>
        <w:rFonts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781"/>
        </w:tabs>
        <w:ind w:left="2781" w:hanging="567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</w:abstractNum>
  <w:abstractNum w:abstractNumId="9">
    <w:nsid w:val="1AEC7A87"/>
    <w:multiLevelType w:val="multilevel"/>
    <w:tmpl w:val="CF12A55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3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FFA6901"/>
    <w:multiLevelType w:val="multilevel"/>
    <w:tmpl w:val="665E9398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Verdana" w:hAnsi="Verdana" w:cs="Copperplate Gothic Bold" w:hint="default"/>
        <w:b/>
        <w:i w:val="0"/>
        <w:caps w:val="0"/>
        <w:color w:val="003300"/>
        <w:spacing w:val="4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olor w:val="0033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color w:val="003300"/>
        <w:sz w:val="25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Copperplate Gothic Bold" w:hint="default"/>
        <w:b/>
        <w:i w:val="0"/>
        <w:caps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AA41DC7"/>
    <w:multiLevelType w:val="multilevel"/>
    <w:tmpl w:val="2BD4C05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2022"/>
        </w:tabs>
        <w:ind w:left="2022" w:hanging="375"/>
      </w:pPr>
      <w:rPr>
        <w:rFonts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781"/>
        </w:tabs>
        <w:ind w:left="2781" w:hanging="567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</w:abstractNum>
  <w:abstractNum w:abstractNumId="12">
    <w:nsid w:val="3A254C58"/>
    <w:multiLevelType w:val="multilevel"/>
    <w:tmpl w:val="176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B2608"/>
    <w:multiLevelType w:val="multilevel"/>
    <w:tmpl w:val="176E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D4591D"/>
    <w:multiLevelType w:val="multilevel"/>
    <w:tmpl w:val="CA6E6F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588"/>
        </w:tabs>
        <w:ind w:left="1588" w:hanging="45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041"/>
        </w:tabs>
        <w:ind w:left="2041" w:hanging="453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698" w:firstLine="0"/>
      </w:pPr>
      <w:rPr>
        <w:rFonts w:hint="default"/>
      </w:rPr>
    </w:lvl>
  </w:abstractNum>
  <w:abstractNum w:abstractNumId="15">
    <w:nsid w:val="59F14C5D"/>
    <w:multiLevelType w:val="hybridMultilevel"/>
    <w:tmpl w:val="CF12A558"/>
    <w:lvl w:ilvl="0" w:tplc="FFC0262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A524E87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AE48B20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23A92AA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9D4D64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6EAB23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942F35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DD34A4F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A150FD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12B5D72"/>
    <w:multiLevelType w:val="multilevel"/>
    <w:tmpl w:val="542462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Verdana" w:hAnsi="Verdana" w:cs="Copperplate Gothic Bold" w:hint="default"/>
        <w:b/>
        <w:i w:val="0"/>
        <w:caps w:val="0"/>
        <w:color w:val="003300"/>
        <w:spacing w:val="4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09"/>
      </w:pPr>
      <w:rPr>
        <w:rFonts w:ascii="Verdana" w:hAnsi="Verdana" w:hint="default"/>
        <w:b w:val="0"/>
        <w:i w:val="0"/>
        <w:color w:val="0033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color w:val="003300"/>
        <w:sz w:val="25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Verdana" w:hAnsi="Verdana" w:cs="Copperplate Gothic Bold" w:hint="default"/>
        <w:b/>
        <w:i w:val="0"/>
        <w:caps/>
        <w:sz w:val="20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A8E749C"/>
    <w:multiLevelType w:val="multilevel"/>
    <w:tmpl w:val="2BD4C05A"/>
    <w:styleLink w:val="StyleOutlinenumbered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tabs>
          <w:tab w:val="num" w:pos="2022"/>
        </w:tabs>
        <w:ind w:left="2022" w:hanging="375"/>
      </w:pPr>
      <w:rPr>
        <w:rFonts w:hint="default"/>
        <w:b w:val="0"/>
        <w:i w:val="0"/>
        <w:sz w:val="20"/>
      </w:rPr>
    </w:lvl>
    <w:lvl w:ilvl="2">
      <w:start w:val="1"/>
      <w:numFmt w:val="upperLetter"/>
      <w:lvlText w:val="(%3)"/>
      <w:lvlJc w:val="left"/>
      <w:pPr>
        <w:tabs>
          <w:tab w:val="num" w:pos="2781"/>
        </w:tabs>
        <w:ind w:left="2781" w:hanging="567"/>
      </w:pPr>
      <w:rPr>
        <w:rFonts w:ascii="Copperplate Gothic Bold" w:hAnsi="Copperplate Gothic Bold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38" w:firstLine="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2"/>
  </w:num>
  <w:num w:numId="21">
    <w:abstractNumId w:val="16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 fillcolor="#ddd">
      <v:fill color="#ddd" color2="#222"/>
      <v:stroke weight=".5pt"/>
      <v:textbox inset="2mm,1.5mm,2mm,1.5mm"/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26"/>
    <w:rsid w:val="00003BA0"/>
    <w:rsid w:val="00010B6F"/>
    <w:rsid w:val="000129A6"/>
    <w:rsid w:val="000147E9"/>
    <w:rsid w:val="00015E17"/>
    <w:rsid w:val="0002760A"/>
    <w:rsid w:val="00030F08"/>
    <w:rsid w:val="000613AE"/>
    <w:rsid w:val="00061939"/>
    <w:rsid w:val="0006384F"/>
    <w:rsid w:val="0007260F"/>
    <w:rsid w:val="0007346D"/>
    <w:rsid w:val="000754A8"/>
    <w:rsid w:val="00083A8A"/>
    <w:rsid w:val="00084B01"/>
    <w:rsid w:val="0008534E"/>
    <w:rsid w:val="00087112"/>
    <w:rsid w:val="0009201C"/>
    <w:rsid w:val="000975D0"/>
    <w:rsid w:val="000A26FB"/>
    <w:rsid w:val="000B00D4"/>
    <w:rsid w:val="000B4F60"/>
    <w:rsid w:val="000C4F7F"/>
    <w:rsid w:val="000C764A"/>
    <w:rsid w:val="000D4BC0"/>
    <w:rsid w:val="000D70EF"/>
    <w:rsid w:val="000E1EB7"/>
    <w:rsid w:val="000E3C99"/>
    <w:rsid w:val="000F7415"/>
    <w:rsid w:val="00101E98"/>
    <w:rsid w:val="00102004"/>
    <w:rsid w:val="00102036"/>
    <w:rsid w:val="00125667"/>
    <w:rsid w:val="001272FF"/>
    <w:rsid w:val="00130938"/>
    <w:rsid w:val="00130E64"/>
    <w:rsid w:val="00132713"/>
    <w:rsid w:val="00133584"/>
    <w:rsid w:val="001456CA"/>
    <w:rsid w:val="00163601"/>
    <w:rsid w:val="001730CA"/>
    <w:rsid w:val="00197202"/>
    <w:rsid w:val="001B47C8"/>
    <w:rsid w:val="001B7807"/>
    <w:rsid w:val="001D6CAC"/>
    <w:rsid w:val="001F413E"/>
    <w:rsid w:val="001F5C8B"/>
    <w:rsid w:val="001F73CB"/>
    <w:rsid w:val="002116DD"/>
    <w:rsid w:val="00215859"/>
    <w:rsid w:val="00227461"/>
    <w:rsid w:val="00230027"/>
    <w:rsid w:val="002307A5"/>
    <w:rsid w:val="00232A3C"/>
    <w:rsid w:val="00236623"/>
    <w:rsid w:val="002373A6"/>
    <w:rsid w:val="00246D09"/>
    <w:rsid w:val="00250B9F"/>
    <w:rsid w:val="0025166F"/>
    <w:rsid w:val="002531C6"/>
    <w:rsid w:val="002542F0"/>
    <w:rsid w:val="00255A37"/>
    <w:rsid w:val="00261F14"/>
    <w:rsid w:val="002646F8"/>
    <w:rsid w:val="0026756E"/>
    <w:rsid w:val="0027066B"/>
    <w:rsid w:val="00275AF7"/>
    <w:rsid w:val="00280917"/>
    <w:rsid w:val="00281421"/>
    <w:rsid w:val="00281854"/>
    <w:rsid w:val="002821EE"/>
    <w:rsid w:val="00282B1C"/>
    <w:rsid w:val="0028356D"/>
    <w:rsid w:val="00283FED"/>
    <w:rsid w:val="00287C23"/>
    <w:rsid w:val="002909D7"/>
    <w:rsid w:val="00291561"/>
    <w:rsid w:val="002A23E9"/>
    <w:rsid w:val="002A4FA4"/>
    <w:rsid w:val="002B5A22"/>
    <w:rsid w:val="002C1DD3"/>
    <w:rsid w:val="002C2707"/>
    <w:rsid w:val="002C3577"/>
    <w:rsid w:val="002D4EDB"/>
    <w:rsid w:val="002E27C7"/>
    <w:rsid w:val="002E65A3"/>
    <w:rsid w:val="002F1341"/>
    <w:rsid w:val="002F4C9A"/>
    <w:rsid w:val="00310CAB"/>
    <w:rsid w:val="00311743"/>
    <w:rsid w:val="00315E40"/>
    <w:rsid w:val="00325BD2"/>
    <w:rsid w:val="00337D48"/>
    <w:rsid w:val="00341D26"/>
    <w:rsid w:val="00344711"/>
    <w:rsid w:val="0034560F"/>
    <w:rsid w:val="00352EE4"/>
    <w:rsid w:val="00363D68"/>
    <w:rsid w:val="003764B9"/>
    <w:rsid w:val="003766A9"/>
    <w:rsid w:val="00382087"/>
    <w:rsid w:val="0038498A"/>
    <w:rsid w:val="0038600F"/>
    <w:rsid w:val="003A3249"/>
    <w:rsid w:val="003B3083"/>
    <w:rsid w:val="003C7CDB"/>
    <w:rsid w:val="003D4B16"/>
    <w:rsid w:val="003D6829"/>
    <w:rsid w:val="003D6D13"/>
    <w:rsid w:val="003F0E43"/>
    <w:rsid w:val="003F3B1E"/>
    <w:rsid w:val="003F4C3D"/>
    <w:rsid w:val="004034DE"/>
    <w:rsid w:val="00410D2B"/>
    <w:rsid w:val="00421093"/>
    <w:rsid w:val="00426E7D"/>
    <w:rsid w:val="00431217"/>
    <w:rsid w:val="00431A72"/>
    <w:rsid w:val="004369E3"/>
    <w:rsid w:val="004418ED"/>
    <w:rsid w:val="00442CDA"/>
    <w:rsid w:val="00451A03"/>
    <w:rsid w:val="00452359"/>
    <w:rsid w:val="00452F0F"/>
    <w:rsid w:val="00456394"/>
    <w:rsid w:val="0046170F"/>
    <w:rsid w:val="00462299"/>
    <w:rsid w:val="00466A5A"/>
    <w:rsid w:val="004704EB"/>
    <w:rsid w:val="00471847"/>
    <w:rsid w:val="00477D92"/>
    <w:rsid w:val="0048241C"/>
    <w:rsid w:val="004824C0"/>
    <w:rsid w:val="00486B89"/>
    <w:rsid w:val="00491E98"/>
    <w:rsid w:val="0049426C"/>
    <w:rsid w:val="0049785D"/>
    <w:rsid w:val="004A4EB7"/>
    <w:rsid w:val="004A7C8A"/>
    <w:rsid w:val="004B3A63"/>
    <w:rsid w:val="004B7326"/>
    <w:rsid w:val="004C0A68"/>
    <w:rsid w:val="004C0EA2"/>
    <w:rsid w:val="004C22E5"/>
    <w:rsid w:val="004C45AA"/>
    <w:rsid w:val="004C696A"/>
    <w:rsid w:val="004C70D5"/>
    <w:rsid w:val="004C7600"/>
    <w:rsid w:val="004D05FC"/>
    <w:rsid w:val="004E4B25"/>
    <w:rsid w:val="004F01CD"/>
    <w:rsid w:val="004F5A67"/>
    <w:rsid w:val="00500088"/>
    <w:rsid w:val="0050136B"/>
    <w:rsid w:val="00501772"/>
    <w:rsid w:val="00504FCE"/>
    <w:rsid w:val="00522F57"/>
    <w:rsid w:val="00531DA7"/>
    <w:rsid w:val="00541D53"/>
    <w:rsid w:val="0055691E"/>
    <w:rsid w:val="00563F04"/>
    <w:rsid w:val="00565CC3"/>
    <w:rsid w:val="005677C4"/>
    <w:rsid w:val="005712AA"/>
    <w:rsid w:val="00573A6E"/>
    <w:rsid w:val="005810D8"/>
    <w:rsid w:val="00581BE1"/>
    <w:rsid w:val="00584471"/>
    <w:rsid w:val="00591669"/>
    <w:rsid w:val="00592288"/>
    <w:rsid w:val="00593E7F"/>
    <w:rsid w:val="00596007"/>
    <w:rsid w:val="005A323B"/>
    <w:rsid w:val="005A34F1"/>
    <w:rsid w:val="005A41E5"/>
    <w:rsid w:val="005B010E"/>
    <w:rsid w:val="005B1B92"/>
    <w:rsid w:val="005B5BD5"/>
    <w:rsid w:val="005C12A1"/>
    <w:rsid w:val="005C51FD"/>
    <w:rsid w:val="005D0B01"/>
    <w:rsid w:val="005D169A"/>
    <w:rsid w:val="005D7038"/>
    <w:rsid w:val="005E6C66"/>
    <w:rsid w:val="005F630E"/>
    <w:rsid w:val="00603684"/>
    <w:rsid w:val="00606FA8"/>
    <w:rsid w:val="006140D8"/>
    <w:rsid w:val="00615964"/>
    <w:rsid w:val="00627F90"/>
    <w:rsid w:val="00632EC9"/>
    <w:rsid w:val="0064233D"/>
    <w:rsid w:val="006473BC"/>
    <w:rsid w:val="0065322A"/>
    <w:rsid w:val="00653677"/>
    <w:rsid w:val="00660E3F"/>
    <w:rsid w:val="006631F3"/>
    <w:rsid w:val="0066382F"/>
    <w:rsid w:val="00673583"/>
    <w:rsid w:val="00676A1A"/>
    <w:rsid w:val="00685D2D"/>
    <w:rsid w:val="00686CD8"/>
    <w:rsid w:val="006A45D1"/>
    <w:rsid w:val="006A4EF5"/>
    <w:rsid w:val="006A7E2F"/>
    <w:rsid w:val="006B02BE"/>
    <w:rsid w:val="006B4180"/>
    <w:rsid w:val="006C32A3"/>
    <w:rsid w:val="006D6D0B"/>
    <w:rsid w:val="006D6FF6"/>
    <w:rsid w:val="006F0825"/>
    <w:rsid w:val="006F19D5"/>
    <w:rsid w:val="006F4658"/>
    <w:rsid w:val="00700A83"/>
    <w:rsid w:val="00703776"/>
    <w:rsid w:val="00710325"/>
    <w:rsid w:val="00711497"/>
    <w:rsid w:val="00711E7F"/>
    <w:rsid w:val="00714FD7"/>
    <w:rsid w:val="00727C18"/>
    <w:rsid w:val="00737515"/>
    <w:rsid w:val="00740289"/>
    <w:rsid w:val="00743B45"/>
    <w:rsid w:val="00745576"/>
    <w:rsid w:val="0075619A"/>
    <w:rsid w:val="00764037"/>
    <w:rsid w:val="00764F3A"/>
    <w:rsid w:val="00773E8B"/>
    <w:rsid w:val="00774CFC"/>
    <w:rsid w:val="007864DF"/>
    <w:rsid w:val="0079201C"/>
    <w:rsid w:val="0079294D"/>
    <w:rsid w:val="00797295"/>
    <w:rsid w:val="007B3587"/>
    <w:rsid w:val="007C1FA1"/>
    <w:rsid w:val="007C663F"/>
    <w:rsid w:val="007C6F67"/>
    <w:rsid w:val="007D4F7B"/>
    <w:rsid w:val="007D5019"/>
    <w:rsid w:val="007E2CA3"/>
    <w:rsid w:val="007E3CD9"/>
    <w:rsid w:val="007E7C56"/>
    <w:rsid w:val="007F088F"/>
    <w:rsid w:val="00804CF8"/>
    <w:rsid w:val="00810FC7"/>
    <w:rsid w:val="00811791"/>
    <w:rsid w:val="00814F88"/>
    <w:rsid w:val="008325C5"/>
    <w:rsid w:val="008353FF"/>
    <w:rsid w:val="0084469F"/>
    <w:rsid w:val="00845AB4"/>
    <w:rsid w:val="00846503"/>
    <w:rsid w:val="008528DB"/>
    <w:rsid w:val="008545B3"/>
    <w:rsid w:val="00863F94"/>
    <w:rsid w:val="00865962"/>
    <w:rsid w:val="00870FCF"/>
    <w:rsid w:val="00874C4E"/>
    <w:rsid w:val="00882D6D"/>
    <w:rsid w:val="008B042F"/>
    <w:rsid w:val="008B48D2"/>
    <w:rsid w:val="008C13DD"/>
    <w:rsid w:val="008D58D3"/>
    <w:rsid w:val="008D79D0"/>
    <w:rsid w:val="008D7AAD"/>
    <w:rsid w:val="008E0B44"/>
    <w:rsid w:val="008E76CE"/>
    <w:rsid w:val="008E7E6F"/>
    <w:rsid w:val="008F0E22"/>
    <w:rsid w:val="008F5C8D"/>
    <w:rsid w:val="0090204E"/>
    <w:rsid w:val="009149C3"/>
    <w:rsid w:val="00915AB6"/>
    <w:rsid w:val="009260A0"/>
    <w:rsid w:val="0092740C"/>
    <w:rsid w:val="0093275C"/>
    <w:rsid w:val="00937A9C"/>
    <w:rsid w:val="009427A2"/>
    <w:rsid w:val="00950C6E"/>
    <w:rsid w:val="00954C75"/>
    <w:rsid w:val="009841A6"/>
    <w:rsid w:val="009904B6"/>
    <w:rsid w:val="00991E67"/>
    <w:rsid w:val="0099501D"/>
    <w:rsid w:val="009A1487"/>
    <w:rsid w:val="009B0140"/>
    <w:rsid w:val="009B48A1"/>
    <w:rsid w:val="009B5009"/>
    <w:rsid w:val="009B5813"/>
    <w:rsid w:val="009B73AC"/>
    <w:rsid w:val="009B7687"/>
    <w:rsid w:val="009C20C5"/>
    <w:rsid w:val="009D1A25"/>
    <w:rsid w:val="009D2DD7"/>
    <w:rsid w:val="009D75BB"/>
    <w:rsid w:val="009F3572"/>
    <w:rsid w:val="009F7917"/>
    <w:rsid w:val="00A04B4B"/>
    <w:rsid w:val="00A22B56"/>
    <w:rsid w:val="00A30C8B"/>
    <w:rsid w:val="00A339CB"/>
    <w:rsid w:val="00A42416"/>
    <w:rsid w:val="00A53F7F"/>
    <w:rsid w:val="00A564B2"/>
    <w:rsid w:val="00A64D0B"/>
    <w:rsid w:val="00A669A5"/>
    <w:rsid w:val="00A74326"/>
    <w:rsid w:val="00A76532"/>
    <w:rsid w:val="00A7714C"/>
    <w:rsid w:val="00A81614"/>
    <w:rsid w:val="00A84298"/>
    <w:rsid w:val="00A87196"/>
    <w:rsid w:val="00A87389"/>
    <w:rsid w:val="00A90BDF"/>
    <w:rsid w:val="00A914D4"/>
    <w:rsid w:val="00AA3628"/>
    <w:rsid w:val="00AC7B18"/>
    <w:rsid w:val="00AC7EDD"/>
    <w:rsid w:val="00AC7F70"/>
    <w:rsid w:val="00AD4B8B"/>
    <w:rsid w:val="00AD6DAA"/>
    <w:rsid w:val="00AE20CE"/>
    <w:rsid w:val="00AF40C7"/>
    <w:rsid w:val="00B07482"/>
    <w:rsid w:val="00B10D2A"/>
    <w:rsid w:val="00B2032E"/>
    <w:rsid w:val="00B30761"/>
    <w:rsid w:val="00B3648B"/>
    <w:rsid w:val="00B5339F"/>
    <w:rsid w:val="00B54A07"/>
    <w:rsid w:val="00B55310"/>
    <w:rsid w:val="00B55A82"/>
    <w:rsid w:val="00B569A5"/>
    <w:rsid w:val="00B60BB1"/>
    <w:rsid w:val="00B64E9F"/>
    <w:rsid w:val="00B74502"/>
    <w:rsid w:val="00B76596"/>
    <w:rsid w:val="00B8202C"/>
    <w:rsid w:val="00B94724"/>
    <w:rsid w:val="00BA23E8"/>
    <w:rsid w:val="00BA2724"/>
    <w:rsid w:val="00BA5085"/>
    <w:rsid w:val="00BB10C4"/>
    <w:rsid w:val="00BB509F"/>
    <w:rsid w:val="00BB7316"/>
    <w:rsid w:val="00BC44BD"/>
    <w:rsid w:val="00BD62CD"/>
    <w:rsid w:val="00BE1FC2"/>
    <w:rsid w:val="00BE7F7C"/>
    <w:rsid w:val="00BF317B"/>
    <w:rsid w:val="00C1264A"/>
    <w:rsid w:val="00C13473"/>
    <w:rsid w:val="00C13AFB"/>
    <w:rsid w:val="00C3069C"/>
    <w:rsid w:val="00C42F60"/>
    <w:rsid w:val="00C4502A"/>
    <w:rsid w:val="00C46B59"/>
    <w:rsid w:val="00C637B1"/>
    <w:rsid w:val="00C70E07"/>
    <w:rsid w:val="00C71F51"/>
    <w:rsid w:val="00C75FAE"/>
    <w:rsid w:val="00CA2A59"/>
    <w:rsid w:val="00CA4B4A"/>
    <w:rsid w:val="00CA7869"/>
    <w:rsid w:val="00CB21B6"/>
    <w:rsid w:val="00CC38BB"/>
    <w:rsid w:val="00CC3CDA"/>
    <w:rsid w:val="00CC79A2"/>
    <w:rsid w:val="00CD39A1"/>
    <w:rsid w:val="00CD400A"/>
    <w:rsid w:val="00D05560"/>
    <w:rsid w:val="00D21909"/>
    <w:rsid w:val="00D23E04"/>
    <w:rsid w:val="00D266E2"/>
    <w:rsid w:val="00D3177B"/>
    <w:rsid w:val="00D42BDB"/>
    <w:rsid w:val="00D469AA"/>
    <w:rsid w:val="00D50C50"/>
    <w:rsid w:val="00D54BA1"/>
    <w:rsid w:val="00D54CEB"/>
    <w:rsid w:val="00D61B08"/>
    <w:rsid w:val="00D62735"/>
    <w:rsid w:val="00D671D2"/>
    <w:rsid w:val="00D710CC"/>
    <w:rsid w:val="00D7706B"/>
    <w:rsid w:val="00D94317"/>
    <w:rsid w:val="00D95D5F"/>
    <w:rsid w:val="00DB0891"/>
    <w:rsid w:val="00DB15E5"/>
    <w:rsid w:val="00DC152A"/>
    <w:rsid w:val="00DC1AA1"/>
    <w:rsid w:val="00DC43DE"/>
    <w:rsid w:val="00DE47C6"/>
    <w:rsid w:val="00DF0A6C"/>
    <w:rsid w:val="00DF6DA0"/>
    <w:rsid w:val="00DF7126"/>
    <w:rsid w:val="00DF7DD7"/>
    <w:rsid w:val="00E1611A"/>
    <w:rsid w:val="00E161F8"/>
    <w:rsid w:val="00E16343"/>
    <w:rsid w:val="00E250D2"/>
    <w:rsid w:val="00E27ACE"/>
    <w:rsid w:val="00E27B4E"/>
    <w:rsid w:val="00E34705"/>
    <w:rsid w:val="00E352C5"/>
    <w:rsid w:val="00E41A6C"/>
    <w:rsid w:val="00E5449F"/>
    <w:rsid w:val="00E600F0"/>
    <w:rsid w:val="00E84DE6"/>
    <w:rsid w:val="00E90F20"/>
    <w:rsid w:val="00EA3CA8"/>
    <w:rsid w:val="00EB0EAD"/>
    <w:rsid w:val="00EB152B"/>
    <w:rsid w:val="00EB4461"/>
    <w:rsid w:val="00ED1386"/>
    <w:rsid w:val="00EF2F54"/>
    <w:rsid w:val="00F0244F"/>
    <w:rsid w:val="00F074B5"/>
    <w:rsid w:val="00F210A4"/>
    <w:rsid w:val="00F256F5"/>
    <w:rsid w:val="00F26822"/>
    <w:rsid w:val="00F31B7D"/>
    <w:rsid w:val="00F3234A"/>
    <w:rsid w:val="00F32887"/>
    <w:rsid w:val="00F32C9D"/>
    <w:rsid w:val="00F4241A"/>
    <w:rsid w:val="00F45018"/>
    <w:rsid w:val="00F51B61"/>
    <w:rsid w:val="00F51DA6"/>
    <w:rsid w:val="00F554CF"/>
    <w:rsid w:val="00F55B33"/>
    <w:rsid w:val="00F56310"/>
    <w:rsid w:val="00F63234"/>
    <w:rsid w:val="00F70E78"/>
    <w:rsid w:val="00F826AF"/>
    <w:rsid w:val="00F8270B"/>
    <w:rsid w:val="00F83DCC"/>
    <w:rsid w:val="00F84F12"/>
    <w:rsid w:val="00F85339"/>
    <w:rsid w:val="00F935F1"/>
    <w:rsid w:val="00F954AF"/>
    <w:rsid w:val="00FA00D1"/>
    <w:rsid w:val="00FA0C04"/>
    <w:rsid w:val="00FB0FF1"/>
    <w:rsid w:val="00FB11CC"/>
    <w:rsid w:val="00FC16B0"/>
    <w:rsid w:val="00FC5FF4"/>
    <w:rsid w:val="00FD2947"/>
    <w:rsid w:val="00FD3399"/>
    <w:rsid w:val="00FE168D"/>
    <w:rsid w:val="00FE2D02"/>
    <w:rsid w:val="00FE389F"/>
    <w:rsid w:val="00FE4B60"/>
    <w:rsid w:val="00FE58D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3009" fillcolor="#ddd">
      <v:fill color="#ddd" color2="#222"/>
      <v:stroke weight=".5pt"/>
      <v:textbox inset="2mm,1.5mm,2mm,1.5mm"/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BB"/>
    <w:pPr>
      <w:spacing w:before="200" w:after="200"/>
      <w:jc w:val="both"/>
    </w:pPr>
    <w:rPr>
      <w:rFonts w:ascii="Calibri" w:hAnsi="Calibri"/>
      <w:sz w:val="23"/>
      <w:szCs w:val="24"/>
    </w:rPr>
  </w:style>
  <w:style w:type="paragraph" w:styleId="Heading1">
    <w:name w:val="heading 1"/>
    <w:next w:val="Normal"/>
    <w:link w:val="Heading1Char"/>
    <w:qFormat/>
    <w:rsid w:val="00592288"/>
    <w:pPr>
      <w:keepNext/>
      <w:keepLines/>
      <w:numPr>
        <w:numId w:val="1"/>
      </w:numPr>
      <w:spacing w:before="240" w:after="240"/>
      <w:outlineLvl w:val="0"/>
    </w:pPr>
    <w:rPr>
      <w:rFonts w:ascii="Verdana" w:hAnsi="Verdana"/>
      <w:b/>
      <w:color w:val="003300"/>
      <w:sz w:val="30"/>
      <w:szCs w:val="30"/>
      <w:lang w:eastAsia="en-US"/>
    </w:rPr>
  </w:style>
  <w:style w:type="paragraph" w:styleId="Heading2">
    <w:name w:val="heading 2"/>
    <w:next w:val="Normal"/>
    <w:link w:val="Heading2Char"/>
    <w:qFormat/>
    <w:rsid w:val="00592288"/>
    <w:pPr>
      <w:keepNext/>
      <w:numPr>
        <w:ilvl w:val="1"/>
        <w:numId w:val="1"/>
      </w:numPr>
      <w:spacing w:before="480" w:after="240"/>
      <w:outlineLvl w:val="1"/>
    </w:pPr>
    <w:rPr>
      <w:rFonts w:ascii="Verdana" w:hAnsi="Verdana"/>
      <w:color w:val="00330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593E7F"/>
    <w:pPr>
      <w:keepNext/>
      <w:numPr>
        <w:ilvl w:val="2"/>
        <w:numId w:val="1"/>
      </w:numPr>
      <w:spacing w:before="0" w:after="240"/>
      <w:jc w:val="left"/>
      <w:outlineLvl w:val="2"/>
    </w:pPr>
    <w:rPr>
      <w:rFonts w:ascii="Verdana" w:hAnsi="Verdana"/>
      <w:snapToGrid w:val="0"/>
      <w:color w:val="003300"/>
      <w:sz w:val="25"/>
      <w:lang w:val="en-GB" w:eastAsia="en-US"/>
    </w:rPr>
  </w:style>
  <w:style w:type="paragraph" w:styleId="Heading4">
    <w:name w:val="heading 4"/>
    <w:basedOn w:val="Normal"/>
    <w:next w:val="Normal"/>
    <w:qFormat/>
    <w:rsid w:val="006140D8"/>
    <w:pPr>
      <w:keepNext/>
      <w:tabs>
        <w:tab w:val="num" w:pos="851"/>
        <w:tab w:val="left" w:pos="1418"/>
      </w:tabs>
      <w:ind w:left="851" w:hanging="851"/>
      <w:outlineLvl w:val="3"/>
    </w:pPr>
    <w:rPr>
      <w:rFonts w:ascii="Verdana" w:hAnsi="Verdana"/>
      <w:b/>
      <w:caps/>
      <w:snapToGrid w:val="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6140D8"/>
    <w:pPr>
      <w:tabs>
        <w:tab w:val="num" w:pos="1080"/>
        <w:tab w:val="left" w:pos="1134"/>
      </w:tabs>
      <w:outlineLvl w:val="4"/>
    </w:pPr>
    <w:rPr>
      <w:rFonts w:ascii="Univers Condensed" w:hAnsi="Univers Condensed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6A5A"/>
    <w:pPr>
      <w:tabs>
        <w:tab w:val="center" w:pos="4153"/>
        <w:tab w:val="right" w:pos="8306"/>
      </w:tabs>
      <w:spacing w:before="0" w:after="0"/>
    </w:pPr>
    <w:rPr>
      <w:sz w:val="18"/>
    </w:rPr>
  </w:style>
  <w:style w:type="paragraph" w:customStyle="1" w:styleId="Bibliographyreference">
    <w:name w:val="Bibliography reference"/>
    <w:basedOn w:val="Normal"/>
    <w:rsid w:val="00915AB6"/>
    <w:pPr>
      <w:spacing w:before="120" w:after="120"/>
      <w:ind w:left="1259" w:hanging="692"/>
      <w:jc w:val="left"/>
    </w:pPr>
    <w:rPr>
      <w:szCs w:val="20"/>
    </w:rPr>
  </w:style>
  <w:style w:type="paragraph" w:customStyle="1" w:styleId="Heading1Nonumbers">
    <w:name w:val="Heading 1 No numbers"/>
    <w:basedOn w:val="Heading1"/>
    <w:rsid w:val="009D75BB"/>
    <w:pPr>
      <w:numPr>
        <w:numId w:val="0"/>
      </w:numPr>
    </w:pPr>
    <w:rPr>
      <w:bCs/>
      <w:szCs w:val="20"/>
    </w:rPr>
  </w:style>
  <w:style w:type="paragraph" w:customStyle="1" w:styleId="TitleVersion">
    <w:name w:val="Title Version"/>
    <w:basedOn w:val="Normal"/>
    <w:rsid w:val="005E6C66"/>
    <w:pPr>
      <w:suppressAutoHyphens/>
      <w:autoSpaceDE w:val="0"/>
      <w:autoSpaceDN w:val="0"/>
      <w:adjustRightInd w:val="0"/>
      <w:spacing w:before="60" w:after="60" w:line="400" w:lineRule="atLeast"/>
      <w:jc w:val="right"/>
      <w:textAlignment w:val="center"/>
    </w:pPr>
    <w:rPr>
      <w:sz w:val="28"/>
      <w:szCs w:val="20"/>
      <w:lang w:val="en-US" w:eastAsia="en-US"/>
    </w:rPr>
  </w:style>
  <w:style w:type="paragraph" w:customStyle="1" w:styleId="FigureandTableCaption">
    <w:name w:val="Figure and Table Caption"/>
    <w:basedOn w:val="Normal"/>
    <w:rsid w:val="00F826AF"/>
    <w:pPr>
      <w:ind w:left="567"/>
      <w:jc w:val="center"/>
    </w:pPr>
    <w:rPr>
      <w:rFonts w:ascii="Verdana" w:hAnsi="Verdana"/>
      <w:b/>
      <w:bCs/>
      <w:color w:val="003300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8E0B44"/>
    <w:pPr>
      <w:tabs>
        <w:tab w:val="right" w:leader="dot" w:pos="8505"/>
      </w:tabs>
      <w:spacing w:before="100" w:after="100"/>
      <w:ind w:left="369" w:hanging="369"/>
    </w:pPr>
    <w:rPr>
      <w:rFonts w:cs="Arial"/>
      <w:b/>
      <w:bCs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8E0B44"/>
    <w:pPr>
      <w:tabs>
        <w:tab w:val="right" w:leader="dot" w:pos="8505"/>
      </w:tabs>
      <w:spacing w:before="100" w:after="100"/>
      <w:ind w:left="936" w:hanging="567"/>
    </w:pPr>
    <w:rPr>
      <w:bCs/>
      <w:szCs w:val="20"/>
      <w:lang w:eastAsia="en-US"/>
    </w:rPr>
  </w:style>
  <w:style w:type="character" w:styleId="Hyperlink">
    <w:name w:val="Hyperlink"/>
    <w:basedOn w:val="DefaultParagraphFont"/>
    <w:uiPriority w:val="99"/>
    <w:rsid w:val="00AC7EDD"/>
    <w:rPr>
      <w:color w:val="0000FF"/>
      <w:u w:val="single"/>
    </w:rPr>
  </w:style>
  <w:style w:type="paragraph" w:customStyle="1" w:styleId="Itemisedlist1">
    <w:name w:val="Itemised list 1"/>
    <w:basedOn w:val="Normal"/>
    <w:link w:val="Itemisedlist1CharChar"/>
    <w:rsid w:val="005B010E"/>
    <w:pPr>
      <w:tabs>
        <w:tab w:val="num" w:pos="1134"/>
      </w:tabs>
      <w:ind w:left="1134" w:hanging="454"/>
    </w:pPr>
    <w:rPr>
      <w:sz w:val="24"/>
      <w:szCs w:val="20"/>
      <w:lang w:eastAsia="en-US"/>
    </w:rPr>
  </w:style>
  <w:style w:type="table" w:styleId="TableGrid">
    <w:name w:val="Table Grid"/>
    <w:basedOn w:val="TableNormal"/>
    <w:rsid w:val="00344711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8E0B44"/>
    <w:pPr>
      <w:ind w:left="600"/>
    </w:pPr>
    <w:rPr>
      <w:rFonts w:ascii="Times New Roman" w:hAnsi="Times New Roman"/>
      <w:sz w:val="20"/>
      <w:szCs w:val="20"/>
      <w:lang w:eastAsia="en-US"/>
    </w:rPr>
  </w:style>
  <w:style w:type="character" w:customStyle="1" w:styleId="Itemisedlist1CharChar">
    <w:name w:val="Itemised list 1 Char Char"/>
    <w:basedOn w:val="DefaultParagraphFont"/>
    <w:link w:val="Itemisedlist1"/>
    <w:rsid w:val="007864DF"/>
    <w:rPr>
      <w:rFonts w:ascii="Calibri" w:hAnsi="Calibri"/>
      <w:sz w:val="24"/>
      <w:lang w:val="en-AU" w:eastAsia="en-US" w:bidi="ar-SA"/>
    </w:rPr>
  </w:style>
  <w:style w:type="numbering" w:customStyle="1" w:styleId="StyleOutlinenumbered">
    <w:name w:val="Style Outline numbered"/>
    <w:basedOn w:val="NoList"/>
    <w:rsid w:val="007864DF"/>
    <w:pPr>
      <w:numPr>
        <w:numId w:val="19"/>
      </w:numPr>
    </w:pPr>
  </w:style>
  <w:style w:type="paragraph" w:customStyle="1" w:styleId="Indent1">
    <w:name w:val="Indent 1"/>
    <w:basedOn w:val="Normal"/>
    <w:rsid w:val="00EF2F54"/>
    <w:pPr>
      <w:tabs>
        <w:tab w:val="num" w:pos="1287"/>
      </w:tabs>
      <w:ind w:left="1287" w:hanging="567"/>
    </w:pPr>
    <w:rPr>
      <w:rFonts w:ascii="Verdana" w:hAnsi="Verdana"/>
      <w:sz w:val="20"/>
      <w:szCs w:val="20"/>
      <w:lang w:eastAsia="en-US"/>
    </w:rPr>
  </w:style>
  <w:style w:type="paragraph" w:styleId="Header">
    <w:name w:val="header"/>
    <w:basedOn w:val="Normal"/>
    <w:rsid w:val="003D682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71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8E0B44"/>
    <w:pPr>
      <w:tabs>
        <w:tab w:val="right" w:leader="dot" w:pos="8505"/>
      </w:tabs>
      <w:spacing w:before="100" w:after="100"/>
      <w:ind w:left="1276" w:hanging="709"/>
    </w:pPr>
  </w:style>
  <w:style w:type="paragraph" w:customStyle="1" w:styleId="HeaderImage">
    <w:name w:val="Header Image"/>
    <w:basedOn w:val="Footer"/>
    <w:rsid w:val="002C3577"/>
    <w:pPr>
      <w:jc w:val="right"/>
    </w:pPr>
  </w:style>
  <w:style w:type="character" w:styleId="FootnoteReference">
    <w:name w:val="footnote reference"/>
    <w:basedOn w:val="DefaultParagraphFont"/>
    <w:semiHidden/>
    <w:rsid w:val="00BC44BD"/>
    <w:rPr>
      <w:vertAlign w:val="superscript"/>
    </w:rPr>
  </w:style>
  <w:style w:type="paragraph" w:customStyle="1" w:styleId="TitleFrontPage">
    <w:name w:val="Title (Front Page)"/>
    <w:basedOn w:val="Normal"/>
    <w:rsid w:val="00711497"/>
    <w:pPr>
      <w:spacing w:after="480"/>
      <w:jc w:val="left"/>
    </w:pPr>
    <w:rPr>
      <w:rFonts w:ascii="Verdana" w:hAnsi="Verdana"/>
      <w:b/>
      <w:bCs/>
      <w:color w:val="003300"/>
      <w:spacing w:val="22"/>
      <w:kern w:val="44"/>
      <w:sz w:val="4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92288"/>
    <w:rPr>
      <w:rFonts w:ascii="Verdana" w:hAnsi="Verdana"/>
      <w:b/>
      <w:color w:val="003300"/>
      <w:sz w:val="30"/>
      <w:szCs w:val="30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592288"/>
    <w:rPr>
      <w:rFonts w:ascii="Verdana" w:hAnsi="Verdana"/>
      <w:color w:val="003300"/>
      <w:sz w:val="28"/>
      <w:szCs w:val="28"/>
      <w:lang w:val="en-AU" w:eastAsia="en-US" w:bidi="ar-SA"/>
    </w:rPr>
  </w:style>
  <w:style w:type="paragraph" w:styleId="Title">
    <w:name w:val="Title"/>
    <w:basedOn w:val="Normal"/>
    <w:next w:val="Normal"/>
    <w:autoRedefine/>
    <w:qFormat/>
    <w:rsid w:val="006631F3"/>
    <w:pPr>
      <w:spacing w:before="240" w:after="60"/>
      <w:outlineLvl w:val="0"/>
    </w:pPr>
    <w:rPr>
      <w:rFonts w:cs="Arial"/>
      <w:b/>
      <w:bCs/>
      <w:color w:val="003300"/>
      <w:kern w:val="28"/>
      <w:sz w:val="30"/>
      <w:szCs w:val="30"/>
      <w:lang w:eastAsia="en-US"/>
    </w:rPr>
  </w:style>
  <w:style w:type="paragraph" w:styleId="TableofFigures">
    <w:name w:val="table of figures"/>
    <w:basedOn w:val="Normal"/>
    <w:next w:val="Normal"/>
    <w:uiPriority w:val="99"/>
    <w:rsid w:val="008E0B44"/>
    <w:pPr>
      <w:spacing w:before="100" w:after="100"/>
    </w:pPr>
  </w:style>
  <w:style w:type="paragraph" w:styleId="TOC4">
    <w:name w:val="toc 4"/>
    <w:basedOn w:val="TOC1"/>
    <w:next w:val="Normal"/>
    <w:autoRedefine/>
    <w:semiHidden/>
    <w:rsid w:val="008E0B44"/>
  </w:style>
  <w:style w:type="paragraph" w:styleId="BalloonText">
    <w:name w:val="Balloon Text"/>
    <w:basedOn w:val="Normal"/>
    <w:semiHidden/>
    <w:rsid w:val="00310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00D4"/>
    <w:rPr>
      <w:sz w:val="16"/>
      <w:szCs w:val="16"/>
    </w:rPr>
  </w:style>
  <w:style w:type="paragraph" w:styleId="CommentText">
    <w:name w:val="annotation text"/>
    <w:basedOn w:val="Normal"/>
    <w:semiHidden/>
    <w:rsid w:val="000B00D4"/>
    <w:rPr>
      <w:sz w:val="20"/>
      <w:szCs w:val="20"/>
    </w:rPr>
  </w:style>
  <w:style w:type="paragraph" w:styleId="FootnoteText">
    <w:name w:val="footnote text"/>
    <w:basedOn w:val="Normal"/>
    <w:semiHidden/>
    <w:rsid w:val="006B02BE"/>
    <w:rPr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0B00D4"/>
    <w:rPr>
      <w:b/>
      <w:bCs/>
    </w:rPr>
  </w:style>
  <w:style w:type="paragraph" w:styleId="Revision">
    <w:name w:val="Revision"/>
    <w:hidden/>
    <w:uiPriority w:val="99"/>
    <w:semiHidden/>
    <w:rsid w:val="009D1A25"/>
    <w:rPr>
      <w:rFonts w:ascii="Calibri" w:hAnsi="Calibri"/>
      <w:sz w:val="23"/>
      <w:szCs w:val="24"/>
    </w:rPr>
  </w:style>
  <w:style w:type="paragraph" w:styleId="Caption">
    <w:name w:val="caption"/>
    <w:basedOn w:val="Normal"/>
    <w:next w:val="Normal"/>
    <w:qFormat/>
    <w:rsid w:val="00C13AFB"/>
    <w:rPr>
      <w:b/>
      <w:bCs/>
      <w:sz w:val="20"/>
      <w:szCs w:val="20"/>
    </w:rPr>
  </w:style>
  <w:style w:type="paragraph" w:customStyle="1" w:styleId="Tableheading">
    <w:name w:val="Table heading"/>
    <w:basedOn w:val="Normal"/>
    <w:rsid w:val="0008534E"/>
    <w:pPr>
      <w:spacing w:before="0" w:after="0"/>
      <w:jc w:val="center"/>
    </w:pPr>
    <w:rPr>
      <w:b/>
      <w:bCs/>
      <w:szCs w:val="20"/>
    </w:rPr>
  </w:style>
  <w:style w:type="paragraph" w:customStyle="1" w:styleId="Tabletexttermsanddefs">
    <w:name w:val="Table text (terms and def's)"/>
    <w:basedOn w:val="Normal"/>
    <w:rsid w:val="0008534E"/>
    <w:pPr>
      <w:spacing w:before="100" w:after="100"/>
      <w:jc w:val="left"/>
    </w:pPr>
  </w:style>
  <w:style w:type="table" w:styleId="TableContemporary">
    <w:name w:val="Table Contemporary"/>
    <w:basedOn w:val="TableNormal"/>
    <w:rsid w:val="00FF4514"/>
    <w:pPr>
      <w:spacing w:before="200" w:after="2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7E2C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BB"/>
    <w:pPr>
      <w:spacing w:before="200" w:after="200"/>
      <w:jc w:val="both"/>
    </w:pPr>
    <w:rPr>
      <w:rFonts w:ascii="Calibri" w:hAnsi="Calibri"/>
      <w:sz w:val="23"/>
      <w:szCs w:val="24"/>
    </w:rPr>
  </w:style>
  <w:style w:type="paragraph" w:styleId="Heading1">
    <w:name w:val="heading 1"/>
    <w:next w:val="Normal"/>
    <w:link w:val="Heading1Char"/>
    <w:qFormat/>
    <w:rsid w:val="00592288"/>
    <w:pPr>
      <w:keepNext/>
      <w:keepLines/>
      <w:numPr>
        <w:numId w:val="1"/>
      </w:numPr>
      <w:spacing w:before="240" w:after="240"/>
      <w:outlineLvl w:val="0"/>
    </w:pPr>
    <w:rPr>
      <w:rFonts w:ascii="Verdana" w:hAnsi="Verdana"/>
      <w:b/>
      <w:color w:val="003300"/>
      <w:sz w:val="30"/>
      <w:szCs w:val="30"/>
      <w:lang w:eastAsia="en-US"/>
    </w:rPr>
  </w:style>
  <w:style w:type="paragraph" w:styleId="Heading2">
    <w:name w:val="heading 2"/>
    <w:next w:val="Normal"/>
    <w:link w:val="Heading2Char"/>
    <w:qFormat/>
    <w:rsid w:val="00592288"/>
    <w:pPr>
      <w:keepNext/>
      <w:numPr>
        <w:ilvl w:val="1"/>
        <w:numId w:val="1"/>
      </w:numPr>
      <w:spacing w:before="480" w:after="240"/>
      <w:outlineLvl w:val="1"/>
    </w:pPr>
    <w:rPr>
      <w:rFonts w:ascii="Verdana" w:hAnsi="Verdana"/>
      <w:color w:val="00330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593E7F"/>
    <w:pPr>
      <w:keepNext/>
      <w:numPr>
        <w:ilvl w:val="2"/>
        <w:numId w:val="1"/>
      </w:numPr>
      <w:spacing w:before="0" w:after="240"/>
      <w:jc w:val="left"/>
      <w:outlineLvl w:val="2"/>
    </w:pPr>
    <w:rPr>
      <w:rFonts w:ascii="Verdana" w:hAnsi="Verdana"/>
      <w:snapToGrid w:val="0"/>
      <w:color w:val="003300"/>
      <w:sz w:val="25"/>
      <w:lang w:val="en-GB" w:eastAsia="en-US"/>
    </w:rPr>
  </w:style>
  <w:style w:type="paragraph" w:styleId="Heading4">
    <w:name w:val="heading 4"/>
    <w:basedOn w:val="Normal"/>
    <w:next w:val="Normal"/>
    <w:qFormat/>
    <w:rsid w:val="006140D8"/>
    <w:pPr>
      <w:keepNext/>
      <w:tabs>
        <w:tab w:val="num" w:pos="851"/>
        <w:tab w:val="left" w:pos="1418"/>
      </w:tabs>
      <w:ind w:left="851" w:hanging="851"/>
      <w:outlineLvl w:val="3"/>
    </w:pPr>
    <w:rPr>
      <w:rFonts w:ascii="Verdana" w:hAnsi="Verdana"/>
      <w:b/>
      <w:caps/>
      <w:snapToGrid w:val="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6140D8"/>
    <w:pPr>
      <w:tabs>
        <w:tab w:val="num" w:pos="1080"/>
        <w:tab w:val="left" w:pos="1134"/>
      </w:tabs>
      <w:outlineLvl w:val="4"/>
    </w:pPr>
    <w:rPr>
      <w:rFonts w:ascii="Univers Condensed" w:hAnsi="Univers Condensed"/>
      <w:b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6A5A"/>
    <w:pPr>
      <w:tabs>
        <w:tab w:val="center" w:pos="4153"/>
        <w:tab w:val="right" w:pos="8306"/>
      </w:tabs>
      <w:spacing w:before="0" w:after="0"/>
    </w:pPr>
    <w:rPr>
      <w:sz w:val="18"/>
    </w:rPr>
  </w:style>
  <w:style w:type="paragraph" w:customStyle="1" w:styleId="Bibliographyreference">
    <w:name w:val="Bibliography reference"/>
    <w:basedOn w:val="Normal"/>
    <w:rsid w:val="00915AB6"/>
    <w:pPr>
      <w:spacing w:before="120" w:after="120"/>
      <w:ind w:left="1259" w:hanging="692"/>
      <w:jc w:val="left"/>
    </w:pPr>
    <w:rPr>
      <w:szCs w:val="20"/>
    </w:rPr>
  </w:style>
  <w:style w:type="paragraph" w:customStyle="1" w:styleId="Heading1Nonumbers">
    <w:name w:val="Heading 1 No numbers"/>
    <w:basedOn w:val="Heading1"/>
    <w:rsid w:val="009D75BB"/>
    <w:pPr>
      <w:numPr>
        <w:numId w:val="0"/>
      </w:numPr>
    </w:pPr>
    <w:rPr>
      <w:bCs/>
      <w:szCs w:val="20"/>
    </w:rPr>
  </w:style>
  <w:style w:type="paragraph" w:customStyle="1" w:styleId="TitleVersion">
    <w:name w:val="Title Version"/>
    <w:basedOn w:val="Normal"/>
    <w:rsid w:val="005E6C66"/>
    <w:pPr>
      <w:suppressAutoHyphens/>
      <w:autoSpaceDE w:val="0"/>
      <w:autoSpaceDN w:val="0"/>
      <w:adjustRightInd w:val="0"/>
      <w:spacing w:before="60" w:after="60" w:line="400" w:lineRule="atLeast"/>
      <w:jc w:val="right"/>
      <w:textAlignment w:val="center"/>
    </w:pPr>
    <w:rPr>
      <w:sz w:val="28"/>
      <w:szCs w:val="20"/>
      <w:lang w:val="en-US" w:eastAsia="en-US"/>
    </w:rPr>
  </w:style>
  <w:style w:type="paragraph" w:customStyle="1" w:styleId="FigureandTableCaption">
    <w:name w:val="Figure and Table Caption"/>
    <w:basedOn w:val="Normal"/>
    <w:rsid w:val="00F826AF"/>
    <w:pPr>
      <w:ind w:left="567"/>
      <w:jc w:val="center"/>
    </w:pPr>
    <w:rPr>
      <w:rFonts w:ascii="Verdana" w:hAnsi="Verdana"/>
      <w:b/>
      <w:bCs/>
      <w:color w:val="003300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8E0B44"/>
    <w:pPr>
      <w:tabs>
        <w:tab w:val="right" w:leader="dot" w:pos="8505"/>
      </w:tabs>
      <w:spacing w:before="100" w:after="100"/>
      <w:ind w:left="369" w:hanging="369"/>
    </w:pPr>
    <w:rPr>
      <w:rFonts w:cs="Arial"/>
      <w:b/>
      <w:bCs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8E0B44"/>
    <w:pPr>
      <w:tabs>
        <w:tab w:val="right" w:leader="dot" w:pos="8505"/>
      </w:tabs>
      <w:spacing w:before="100" w:after="100"/>
      <w:ind w:left="936" w:hanging="567"/>
    </w:pPr>
    <w:rPr>
      <w:bCs/>
      <w:szCs w:val="20"/>
      <w:lang w:eastAsia="en-US"/>
    </w:rPr>
  </w:style>
  <w:style w:type="character" w:styleId="Hyperlink">
    <w:name w:val="Hyperlink"/>
    <w:basedOn w:val="DefaultParagraphFont"/>
    <w:uiPriority w:val="99"/>
    <w:rsid w:val="00AC7EDD"/>
    <w:rPr>
      <w:color w:val="0000FF"/>
      <w:u w:val="single"/>
    </w:rPr>
  </w:style>
  <w:style w:type="paragraph" w:customStyle="1" w:styleId="Itemisedlist1">
    <w:name w:val="Itemised list 1"/>
    <w:basedOn w:val="Normal"/>
    <w:link w:val="Itemisedlist1CharChar"/>
    <w:rsid w:val="005B010E"/>
    <w:pPr>
      <w:tabs>
        <w:tab w:val="num" w:pos="1134"/>
      </w:tabs>
      <w:ind w:left="1134" w:hanging="454"/>
    </w:pPr>
    <w:rPr>
      <w:sz w:val="24"/>
      <w:szCs w:val="20"/>
      <w:lang w:eastAsia="en-US"/>
    </w:rPr>
  </w:style>
  <w:style w:type="table" w:styleId="TableGrid">
    <w:name w:val="Table Grid"/>
    <w:basedOn w:val="TableNormal"/>
    <w:rsid w:val="00344711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8E0B44"/>
    <w:pPr>
      <w:ind w:left="600"/>
    </w:pPr>
    <w:rPr>
      <w:rFonts w:ascii="Times New Roman" w:hAnsi="Times New Roman"/>
      <w:sz w:val="20"/>
      <w:szCs w:val="20"/>
      <w:lang w:eastAsia="en-US"/>
    </w:rPr>
  </w:style>
  <w:style w:type="character" w:customStyle="1" w:styleId="Itemisedlist1CharChar">
    <w:name w:val="Itemised list 1 Char Char"/>
    <w:basedOn w:val="DefaultParagraphFont"/>
    <w:link w:val="Itemisedlist1"/>
    <w:rsid w:val="007864DF"/>
    <w:rPr>
      <w:rFonts w:ascii="Calibri" w:hAnsi="Calibri"/>
      <w:sz w:val="24"/>
      <w:lang w:val="en-AU" w:eastAsia="en-US" w:bidi="ar-SA"/>
    </w:rPr>
  </w:style>
  <w:style w:type="numbering" w:customStyle="1" w:styleId="StyleOutlinenumbered">
    <w:name w:val="Style Outline numbered"/>
    <w:basedOn w:val="NoList"/>
    <w:rsid w:val="007864DF"/>
    <w:pPr>
      <w:numPr>
        <w:numId w:val="19"/>
      </w:numPr>
    </w:pPr>
  </w:style>
  <w:style w:type="paragraph" w:customStyle="1" w:styleId="Indent1">
    <w:name w:val="Indent 1"/>
    <w:basedOn w:val="Normal"/>
    <w:rsid w:val="00EF2F54"/>
    <w:pPr>
      <w:tabs>
        <w:tab w:val="num" w:pos="1287"/>
      </w:tabs>
      <w:ind w:left="1287" w:hanging="567"/>
    </w:pPr>
    <w:rPr>
      <w:rFonts w:ascii="Verdana" w:hAnsi="Verdana"/>
      <w:sz w:val="20"/>
      <w:szCs w:val="20"/>
      <w:lang w:eastAsia="en-US"/>
    </w:rPr>
  </w:style>
  <w:style w:type="paragraph" w:styleId="Header">
    <w:name w:val="header"/>
    <w:basedOn w:val="Normal"/>
    <w:rsid w:val="003D682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718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8E0B44"/>
    <w:pPr>
      <w:tabs>
        <w:tab w:val="right" w:leader="dot" w:pos="8505"/>
      </w:tabs>
      <w:spacing w:before="100" w:after="100"/>
      <w:ind w:left="1276" w:hanging="709"/>
    </w:pPr>
  </w:style>
  <w:style w:type="paragraph" w:customStyle="1" w:styleId="HeaderImage">
    <w:name w:val="Header Image"/>
    <w:basedOn w:val="Footer"/>
    <w:rsid w:val="002C3577"/>
    <w:pPr>
      <w:jc w:val="right"/>
    </w:pPr>
  </w:style>
  <w:style w:type="character" w:styleId="FootnoteReference">
    <w:name w:val="footnote reference"/>
    <w:basedOn w:val="DefaultParagraphFont"/>
    <w:semiHidden/>
    <w:rsid w:val="00BC44BD"/>
    <w:rPr>
      <w:vertAlign w:val="superscript"/>
    </w:rPr>
  </w:style>
  <w:style w:type="paragraph" w:customStyle="1" w:styleId="TitleFrontPage">
    <w:name w:val="Title (Front Page)"/>
    <w:basedOn w:val="Normal"/>
    <w:rsid w:val="00711497"/>
    <w:pPr>
      <w:spacing w:after="480"/>
      <w:jc w:val="left"/>
    </w:pPr>
    <w:rPr>
      <w:rFonts w:ascii="Verdana" w:hAnsi="Verdana"/>
      <w:b/>
      <w:bCs/>
      <w:color w:val="003300"/>
      <w:spacing w:val="22"/>
      <w:kern w:val="44"/>
      <w:sz w:val="4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92288"/>
    <w:rPr>
      <w:rFonts w:ascii="Verdana" w:hAnsi="Verdana"/>
      <w:b/>
      <w:color w:val="003300"/>
      <w:sz w:val="30"/>
      <w:szCs w:val="30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rsid w:val="00592288"/>
    <w:rPr>
      <w:rFonts w:ascii="Verdana" w:hAnsi="Verdana"/>
      <w:color w:val="003300"/>
      <w:sz w:val="28"/>
      <w:szCs w:val="28"/>
      <w:lang w:val="en-AU" w:eastAsia="en-US" w:bidi="ar-SA"/>
    </w:rPr>
  </w:style>
  <w:style w:type="paragraph" w:styleId="Title">
    <w:name w:val="Title"/>
    <w:basedOn w:val="Normal"/>
    <w:next w:val="Normal"/>
    <w:autoRedefine/>
    <w:qFormat/>
    <w:rsid w:val="006631F3"/>
    <w:pPr>
      <w:spacing w:before="240" w:after="60"/>
      <w:outlineLvl w:val="0"/>
    </w:pPr>
    <w:rPr>
      <w:rFonts w:cs="Arial"/>
      <w:b/>
      <w:bCs/>
      <w:color w:val="003300"/>
      <w:kern w:val="28"/>
      <w:sz w:val="30"/>
      <w:szCs w:val="30"/>
      <w:lang w:eastAsia="en-US"/>
    </w:rPr>
  </w:style>
  <w:style w:type="paragraph" w:styleId="TableofFigures">
    <w:name w:val="table of figures"/>
    <w:basedOn w:val="Normal"/>
    <w:next w:val="Normal"/>
    <w:uiPriority w:val="99"/>
    <w:rsid w:val="008E0B44"/>
    <w:pPr>
      <w:spacing w:before="100" w:after="100"/>
    </w:pPr>
  </w:style>
  <w:style w:type="paragraph" w:styleId="TOC4">
    <w:name w:val="toc 4"/>
    <w:basedOn w:val="TOC1"/>
    <w:next w:val="Normal"/>
    <w:autoRedefine/>
    <w:semiHidden/>
    <w:rsid w:val="008E0B44"/>
  </w:style>
  <w:style w:type="paragraph" w:styleId="BalloonText">
    <w:name w:val="Balloon Text"/>
    <w:basedOn w:val="Normal"/>
    <w:semiHidden/>
    <w:rsid w:val="00310C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00D4"/>
    <w:rPr>
      <w:sz w:val="16"/>
      <w:szCs w:val="16"/>
    </w:rPr>
  </w:style>
  <w:style w:type="paragraph" w:styleId="CommentText">
    <w:name w:val="annotation text"/>
    <w:basedOn w:val="Normal"/>
    <w:semiHidden/>
    <w:rsid w:val="000B00D4"/>
    <w:rPr>
      <w:sz w:val="20"/>
      <w:szCs w:val="20"/>
    </w:rPr>
  </w:style>
  <w:style w:type="paragraph" w:styleId="FootnoteText">
    <w:name w:val="footnote text"/>
    <w:basedOn w:val="Normal"/>
    <w:semiHidden/>
    <w:rsid w:val="006B02BE"/>
    <w:rPr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0B00D4"/>
    <w:rPr>
      <w:b/>
      <w:bCs/>
    </w:rPr>
  </w:style>
  <w:style w:type="paragraph" w:styleId="Revision">
    <w:name w:val="Revision"/>
    <w:hidden/>
    <w:uiPriority w:val="99"/>
    <w:semiHidden/>
    <w:rsid w:val="009D1A25"/>
    <w:rPr>
      <w:rFonts w:ascii="Calibri" w:hAnsi="Calibri"/>
      <w:sz w:val="23"/>
      <w:szCs w:val="24"/>
    </w:rPr>
  </w:style>
  <w:style w:type="paragraph" w:styleId="Caption">
    <w:name w:val="caption"/>
    <w:basedOn w:val="Normal"/>
    <w:next w:val="Normal"/>
    <w:qFormat/>
    <w:rsid w:val="00C13AFB"/>
    <w:rPr>
      <w:b/>
      <w:bCs/>
      <w:sz w:val="20"/>
      <w:szCs w:val="20"/>
    </w:rPr>
  </w:style>
  <w:style w:type="paragraph" w:customStyle="1" w:styleId="Tableheading">
    <w:name w:val="Table heading"/>
    <w:basedOn w:val="Normal"/>
    <w:rsid w:val="0008534E"/>
    <w:pPr>
      <w:spacing w:before="0" w:after="0"/>
      <w:jc w:val="center"/>
    </w:pPr>
    <w:rPr>
      <w:b/>
      <w:bCs/>
      <w:szCs w:val="20"/>
    </w:rPr>
  </w:style>
  <w:style w:type="paragraph" w:customStyle="1" w:styleId="Tabletexttermsanddefs">
    <w:name w:val="Table text (terms and def's)"/>
    <w:basedOn w:val="Normal"/>
    <w:rsid w:val="0008534E"/>
    <w:pPr>
      <w:spacing w:before="100" w:after="100"/>
      <w:jc w:val="left"/>
    </w:pPr>
  </w:style>
  <w:style w:type="table" w:styleId="TableContemporary">
    <w:name w:val="Table Contemporary"/>
    <w:basedOn w:val="TableNormal"/>
    <w:rsid w:val="00FF4514"/>
    <w:pPr>
      <w:spacing w:before="200" w:after="20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7E2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eativecommons.org/licenses/by/3.0/a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CFCD17.79C9BD8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CB7A-65F9-43EE-83B8-2BCBA37F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E501DF9A.dotm</Template>
  <TotalTime>290</TotalTime>
  <Pages>11</Pages>
  <Words>2089</Words>
  <Characters>14209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 Australian Survey Control</vt:lpstr>
    </vt:vector>
  </TitlesOfParts>
  <Company>ICSM</Company>
  <LinksUpToDate>false</LinksUpToDate>
  <CharactersWithSpaces>16266</CharactersWithSpaces>
  <SharedDoc>false</SharedDoc>
  <HLinks>
    <vt:vector size="126" baseType="variant"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_Toc358367834</vt:lpwstr>
      </vt:variant>
      <vt:variant>
        <vt:i4>1376309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_Toc358367833</vt:lpwstr>
      </vt:variant>
      <vt:variant>
        <vt:i4>1376309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_Toc358367832</vt:lpwstr>
      </vt:variant>
      <vt:variant>
        <vt:i4>1376309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_Toc358367831</vt:lpwstr>
      </vt:variant>
      <vt:variant>
        <vt:i4>1376309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_Toc358367830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_Toc358565285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_Toc358565284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_Toc358565277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_Toc358565276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_Toc358565275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_Toc358565274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_Toc358565273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_Toc358565272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_Toc358565271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_Toc358565270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_Toc358565269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_Toc358565260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_Toc358565259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_Toc358565258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_Toc358565257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_Toc358565256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 Australian Survey Control</dc:title>
  <dc:creator>ICSM</dc:creator>
  <cp:lastModifiedBy>Anna</cp:lastModifiedBy>
  <cp:revision>49</cp:revision>
  <cp:lastPrinted>2013-10-24T04:10:00Z</cp:lastPrinted>
  <dcterms:created xsi:type="dcterms:W3CDTF">2013-06-17T21:58:00Z</dcterms:created>
  <dcterms:modified xsi:type="dcterms:W3CDTF">2014-10-03T00:08:00Z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SM">
    <vt:lpwstr>Intergovernmental Committee on Surveying and Mapping</vt:lpwstr>
  </property>
  <property fmtid="{D5CDD505-2E9C-101B-9397-08002B2CF9AE}" pid="3" name="Document Name">
    <vt:lpwstr>Guideline for Control Surveys by Differential Levelling – SP1</vt:lpwstr>
  </property>
  <property fmtid="{D5CDD505-2E9C-101B-9397-08002B2CF9AE}" pid="4" name="Version">
    <vt:lpwstr>Version 2.1</vt:lpwstr>
  </property>
  <property fmtid="{D5CDD505-2E9C-101B-9397-08002B2CF9AE}" pid="5" name="GTSC">
    <vt:lpwstr>Geodesy Technical Sub-Committee</vt:lpwstr>
  </property>
</Properties>
</file>