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9CB" w:rsidRPr="009E6A95" w:rsidRDefault="00643250">
      <w:pPr>
        <w:rPr>
          <w:color w:val="262626" w:themeColor="text1" w:themeTint="D9"/>
        </w:rPr>
      </w:pPr>
      <w:r>
        <w:rPr>
          <w:noProof/>
        </w:rPr>
        <w:drawing>
          <wp:anchor distT="0" distB="0" distL="114300" distR="114300" simplePos="0" relativeHeight="251659264" behindDoc="1" locked="0" layoutInCell="1" allowOverlap="1" wp14:anchorId="4697AD4D" wp14:editId="43E04A86">
            <wp:simplePos x="0" y="0"/>
            <wp:positionH relativeFrom="column">
              <wp:posOffset>3171825</wp:posOffset>
            </wp:positionH>
            <wp:positionV relativeFrom="paragraph">
              <wp:posOffset>266065</wp:posOffset>
            </wp:positionV>
            <wp:extent cx="2469515" cy="1579880"/>
            <wp:effectExtent l="0" t="0" r="6985" b="1270"/>
            <wp:wrapTight wrapText="bothSides">
              <wp:wrapPolygon edited="0">
                <wp:start x="0" y="0"/>
                <wp:lineTo x="0" y="21357"/>
                <wp:lineTo x="21494" y="21357"/>
                <wp:lineTo x="21494" y="0"/>
                <wp:lineTo x="0" y="0"/>
              </wp:wrapPolygon>
            </wp:wrapTight>
            <wp:docPr id="2" name="Picture 2" descr="C:\Users\u45258\Desktop\ics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5258\Desktop\ics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515" cy="1579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50A" w:rsidRPr="009E6A95" w:rsidRDefault="00C0550A">
      <w:pPr>
        <w:rPr>
          <w:color w:val="262626" w:themeColor="text1" w:themeTint="D9"/>
        </w:rPr>
      </w:pPr>
    </w:p>
    <w:p w:rsidR="00C0550A" w:rsidRPr="009E6A95" w:rsidRDefault="00C0550A">
      <w:pPr>
        <w:rPr>
          <w:color w:val="262626" w:themeColor="text1" w:themeTint="D9"/>
        </w:rPr>
      </w:pPr>
    </w:p>
    <w:p w:rsidR="00C0550A" w:rsidRPr="009E6A95" w:rsidRDefault="00C0550A">
      <w:pPr>
        <w:rPr>
          <w:color w:val="262626" w:themeColor="text1" w:themeTint="D9"/>
        </w:rPr>
      </w:pPr>
    </w:p>
    <w:p w:rsidR="00C0550A" w:rsidRPr="009E6A95" w:rsidRDefault="00C0550A">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A339CB" w:rsidRPr="009E6A95" w:rsidRDefault="00A339CB">
      <w:pPr>
        <w:rPr>
          <w:color w:val="262626" w:themeColor="text1" w:themeTint="D9"/>
        </w:rPr>
      </w:pPr>
    </w:p>
    <w:p w:rsidR="00573A6E" w:rsidRPr="00BA4555" w:rsidRDefault="00A339CB" w:rsidP="009D75BB">
      <w:pPr>
        <w:pStyle w:val="TitleFrontPage"/>
        <w:rPr>
          <w:color w:val="4F6228" w:themeColor="accent3" w:themeShade="80"/>
        </w:rPr>
      </w:pPr>
      <w:r w:rsidRPr="00BA4555">
        <w:rPr>
          <w:color w:val="4F6228" w:themeColor="accent3" w:themeShade="80"/>
        </w:rPr>
        <w:t>Standard for the Aus</w:t>
      </w:r>
      <w:r w:rsidR="00573A6E" w:rsidRPr="00BA4555">
        <w:rPr>
          <w:color w:val="4F6228" w:themeColor="accent3" w:themeShade="80"/>
        </w:rPr>
        <w:t>tralian Survey Control Network</w:t>
      </w:r>
    </w:p>
    <w:p w:rsidR="00A339CB" w:rsidRPr="00BA4555" w:rsidRDefault="00A339CB" w:rsidP="009D75BB">
      <w:pPr>
        <w:pStyle w:val="TitleFrontPage"/>
        <w:rPr>
          <w:color w:val="4F6228" w:themeColor="accent3" w:themeShade="80"/>
        </w:rPr>
      </w:pPr>
      <w:r w:rsidRPr="00BA4555">
        <w:rPr>
          <w:color w:val="4F6228" w:themeColor="accent3" w:themeShade="80"/>
        </w:rPr>
        <w:t>Special Publication 1</w:t>
      </w:r>
    </w:p>
    <w:p w:rsidR="00A339CB" w:rsidRPr="009E6A95" w:rsidRDefault="00A339CB" w:rsidP="00A339CB">
      <w:pPr>
        <w:pStyle w:val="TitleVersion"/>
        <w:rPr>
          <w:color w:val="262626" w:themeColor="text1" w:themeTint="D9"/>
        </w:rPr>
      </w:pPr>
    </w:p>
    <w:p w:rsidR="002C3577" w:rsidRPr="009E6A95" w:rsidRDefault="002C3577" w:rsidP="00A339CB">
      <w:pPr>
        <w:pStyle w:val="TitleVersion"/>
        <w:rPr>
          <w:color w:val="262626" w:themeColor="text1" w:themeTint="D9"/>
        </w:rPr>
      </w:pPr>
    </w:p>
    <w:p w:rsidR="002C3577" w:rsidRPr="009E6A95" w:rsidRDefault="002C3577" w:rsidP="00A339CB">
      <w:pPr>
        <w:pStyle w:val="TitleVersion"/>
        <w:rPr>
          <w:color w:val="262626" w:themeColor="text1" w:themeTint="D9"/>
        </w:rPr>
      </w:pPr>
    </w:p>
    <w:p w:rsidR="00A339CB" w:rsidRPr="009E6A95" w:rsidRDefault="00E41E70" w:rsidP="00A339CB">
      <w:pPr>
        <w:pStyle w:val="TitleVersion"/>
        <w:rPr>
          <w:color w:val="262626" w:themeColor="text1" w:themeTint="D9"/>
        </w:rPr>
      </w:pPr>
      <w:r w:rsidRPr="009E6A95">
        <w:rPr>
          <w:color w:val="262626" w:themeColor="text1" w:themeTint="D9"/>
        </w:rPr>
        <w:fldChar w:fldCharType="begin"/>
      </w:r>
      <w:r w:rsidRPr="009E6A95">
        <w:rPr>
          <w:color w:val="262626" w:themeColor="text1" w:themeTint="D9"/>
        </w:rPr>
        <w:instrText xml:space="preserve"> DOCPROPERTY "version" \* MERGEFORMAT </w:instrText>
      </w:r>
      <w:r w:rsidRPr="009E6A95">
        <w:rPr>
          <w:color w:val="262626" w:themeColor="text1" w:themeTint="D9"/>
        </w:rPr>
        <w:fldChar w:fldCharType="separate"/>
      </w:r>
      <w:r w:rsidR="006F246B">
        <w:rPr>
          <w:color w:val="262626" w:themeColor="text1" w:themeTint="D9"/>
        </w:rPr>
        <w:t>Version 2.1</w:t>
      </w:r>
      <w:r w:rsidRPr="009E6A95">
        <w:rPr>
          <w:color w:val="262626" w:themeColor="text1" w:themeTint="D9"/>
        </w:rPr>
        <w:fldChar w:fldCharType="end"/>
      </w:r>
    </w:p>
    <w:p w:rsidR="00A339CB" w:rsidRPr="009E6A95" w:rsidRDefault="00A339CB" w:rsidP="00A339CB">
      <w:pPr>
        <w:rPr>
          <w:color w:val="262626" w:themeColor="text1" w:themeTint="D9"/>
        </w:rPr>
      </w:pPr>
    </w:p>
    <w:p w:rsidR="00A339CB" w:rsidRPr="009E6A95" w:rsidRDefault="00E41E70" w:rsidP="00A339CB">
      <w:pPr>
        <w:pStyle w:val="TitleVersion"/>
        <w:rPr>
          <w:color w:val="262626" w:themeColor="text1" w:themeTint="D9"/>
        </w:rPr>
      </w:pPr>
      <w:r w:rsidRPr="009E6A95">
        <w:rPr>
          <w:color w:val="262626" w:themeColor="text1" w:themeTint="D9"/>
        </w:rPr>
        <w:fldChar w:fldCharType="begin"/>
      </w:r>
      <w:r w:rsidRPr="009E6A95">
        <w:rPr>
          <w:color w:val="262626" w:themeColor="text1" w:themeTint="D9"/>
        </w:rPr>
        <w:instrText xml:space="preserve"> DOCPROPERTY  icsm \* MERGEFORMAT </w:instrText>
      </w:r>
      <w:r w:rsidRPr="009E6A95">
        <w:rPr>
          <w:color w:val="262626" w:themeColor="text1" w:themeTint="D9"/>
        </w:rPr>
        <w:fldChar w:fldCharType="separate"/>
      </w:r>
      <w:r w:rsidR="006F246B">
        <w:rPr>
          <w:color w:val="262626" w:themeColor="text1" w:themeTint="D9"/>
        </w:rPr>
        <w:t>Intergovernmental Committee on Surveying and Mapping</w:t>
      </w:r>
      <w:r w:rsidRPr="009E6A95">
        <w:rPr>
          <w:color w:val="262626" w:themeColor="text1" w:themeTint="D9"/>
        </w:rPr>
        <w:fldChar w:fldCharType="end"/>
      </w:r>
      <w:r w:rsidR="00A339CB" w:rsidRPr="009E6A95">
        <w:rPr>
          <w:color w:val="262626" w:themeColor="text1" w:themeTint="D9"/>
        </w:rPr>
        <w:t xml:space="preserve"> (ICSM)</w:t>
      </w:r>
    </w:p>
    <w:p w:rsidR="00A339CB" w:rsidRPr="009E6A95" w:rsidRDefault="00186D9C" w:rsidP="00A339CB">
      <w:pPr>
        <w:pStyle w:val="TitleVersion"/>
        <w:rPr>
          <w:color w:val="262626" w:themeColor="text1" w:themeTint="D9"/>
        </w:rPr>
      </w:pPr>
      <w:r w:rsidRPr="009E6A95">
        <w:rPr>
          <w:color w:val="262626" w:themeColor="text1" w:themeTint="D9"/>
        </w:rPr>
        <w:t>Permanent Committee on Geodesy (PCG</w:t>
      </w:r>
      <w:r w:rsidR="00A339CB" w:rsidRPr="009E6A95">
        <w:rPr>
          <w:color w:val="262626" w:themeColor="text1" w:themeTint="D9"/>
        </w:rPr>
        <w:t>)</w:t>
      </w:r>
    </w:p>
    <w:p w:rsidR="00A339CB" w:rsidRPr="009E6A95" w:rsidRDefault="00177F12" w:rsidP="00A339CB">
      <w:pPr>
        <w:pStyle w:val="TitleVersion"/>
        <w:rPr>
          <w:color w:val="262626" w:themeColor="text1" w:themeTint="D9"/>
        </w:rPr>
      </w:pPr>
      <w:r>
        <w:rPr>
          <w:color w:val="262626" w:themeColor="text1" w:themeTint="D9"/>
        </w:rPr>
        <w:t>24</w:t>
      </w:r>
      <w:r w:rsidR="00B20C69">
        <w:rPr>
          <w:color w:val="262626" w:themeColor="text1" w:themeTint="D9"/>
        </w:rPr>
        <w:t xml:space="preserve"> September 2014</w:t>
      </w:r>
    </w:p>
    <w:p w:rsidR="00714FD7" w:rsidRPr="009E6A95" w:rsidRDefault="00714FD7" w:rsidP="00A339CB">
      <w:pPr>
        <w:pStyle w:val="TitleVersion"/>
        <w:rPr>
          <w:color w:val="262626" w:themeColor="text1" w:themeTint="D9"/>
        </w:rPr>
      </w:pPr>
    </w:p>
    <w:p w:rsidR="00BF7263" w:rsidRDefault="00B45EBE" w:rsidP="00BF7263">
      <w:pPr>
        <w:pStyle w:val="Heading1Nonumbers"/>
        <w:rPr>
          <w:color w:val="4F6228" w:themeColor="accent3" w:themeShade="80"/>
        </w:rPr>
      </w:pPr>
      <w:bookmarkStart w:id="0" w:name="_Toc399489498"/>
      <w:bookmarkStart w:id="1" w:name="_Toc301525764"/>
      <w:bookmarkStart w:id="2" w:name="_Toc303175626"/>
      <w:bookmarkStart w:id="3" w:name="_Toc304550596"/>
      <w:bookmarkStart w:id="4" w:name="_Toc315785383"/>
      <w:r>
        <w:rPr>
          <w:color w:val="4F6228" w:themeColor="accent3" w:themeShade="80"/>
        </w:rPr>
        <w:lastRenderedPageBreak/>
        <w:t>Document History</w:t>
      </w:r>
      <w:bookmarkEnd w:id="0"/>
    </w:p>
    <w:tbl>
      <w:tblPr>
        <w:tblStyle w:val="TableContemporary"/>
        <w:tblW w:w="0" w:type="auto"/>
        <w:tblLook w:val="04A0" w:firstRow="1" w:lastRow="0" w:firstColumn="1" w:lastColumn="0" w:noHBand="0" w:noVBand="1"/>
      </w:tblPr>
      <w:tblGrid>
        <w:gridCol w:w="1327"/>
        <w:gridCol w:w="703"/>
        <w:gridCol w:w="758"/>
        <w:gridCol w:w="3132"/>
        <w:gridCol w:w="2846"/>
      </w:tblGrid>
      <w:tr w:rsidR="00BF7263" w:rsidRPr="00D509A8" w:rsidTr="00621690">
        <w:trPr>
          <w:cnfStyle w:val="100000000000" w:firstRow="1" w:lastRow="0" w:firstColumn="0" w:lastColumn="0" w:oddVBand="0" w:evenVBand="0" w:oddHBand="0" w:evenHBand="0" w:firstRowFirstColumn="0" w:firstRowLastColumn="0" w:lastRowFirstColumn="0" w:lastRowLastColumn="0"/>
        </w:trPr>
        <w:tc>
          <w:tcPr>
            <w:tcW w:w="0" w:type="auto"/>
          </w:tcPr>
          <w:p w:rsidR="00BF7263" w:rsidRPr="00D509A8" w:rsidRDefault="00BF7263" w:rsidP="00621690">
            <w:pPr>
              <w:spacing w:before="0" w:after="0"/>
              <w:jc w:val="left"/>
            </w:pPr>
            <w:r w:rsidRPr="00D509A8">
              <w:t>DATE</w:t>
            </w:r>
          </w:p>
        </w:tc>
        <w:tc>
          <w:tcPr>
            <w:tcW w:w="0" w:type="auto"/>
          </w:tcPr>
          <w:p w:rsidR="00BF7263" w:rsidRPr="00D509A8" w:rsidRDefault="00BF7263" w:rsidP="00621690">
            <w:pPr>
              <w:spacing w:before="0" w:after="0"/>
              <w:jc w:val="center"/>
            </w:pPr>
            <w:r w:rsidRPr="00D509A8">
              <w:t>VERS</w:t>
            </w:r>
          </w:p>
        </w:tc>
        <w:tc>
          <w:tcPr>
            <w:tcW w:w="0" w:type="auto"/>
          </w:tcPr>
          <w:p w:rsidR="00BF7263" w:rsidRPr="00D509A8" w:rsidRDefault="00BF7263" w:rsidP="00621690">
            <w:pPr>
              <w:spacing w:before="0" w:after="0"/>
              <w:jc w:val="center"/>
            </w:pPr>
            <w:r w:rsidRPr="00D509A8">
              <w:t>ISSUE</w:t>
            </w:r>
          </w:p>
        </w:tc>
        <w:tc>
          <w:tcPr>
            <w:tcW w:w="3132" w:type="dxa"/>
          </w:tcPr>
          <w:p w:rsidR="00BF7263" w:rsidRPr="00D509A8" w:rsidRDefault="00BF7263" w:rsidP="00621690">
            <w:pPr>
              <w:spacing w:before="0" w:after="0"/>
              <w:jc w:val="left"/>
            </w:pPr>
            <w:r w:rsidRPr="00D509A8">
              <w:t>AMENDMENTS</w:t>
            </w:r>
          </w:p>
        </w:tc>
        <w:tc>
          <w:tcPr>
            <w:tcW w:w="2846" w:type="dxa"/>
          </w:tcPr>
          <w:p w:rsidR="00BF7263" w:rsidRPr="00D509A8" w:rsidRDefault="00BF7263" w:rsidP="00621690">
            <w:pPr>
              <w:spacing w:before="0" w:after="0"/>
              <w:jc w:val="left"/>
            </w:pPr>
            <w:r w:rsidRPr="00D509A8">
              <w:t>AUTHOR(S)</w:t>
            </w:r>
          </w:p>
        </w:tc>
      </w:tr>
      <w:tr w:rsidR="00BF7263" w:rsidRPr="00D509A8" w:rsidTr="00621690">
        <w:trPr>
          <w:cnfStyle w:val="000000100000" w:firstRow="0" w:lastRow="0" w:firstColumn="0" w:lastColumn="0" w:oddVBand="0" w:evenVBand="0" w:oddHBand="1" w:evenHBand="0" w:firstRowFirstColumn="0" w:firstRowLastColumn="0" w:lastRowFirstColumn="0" w:lastRowLastColumn="0"/>
        </w:trPr>
        <w:tc>
          <w:tcPr>
            <w:tcW w:w="0" w:type="auto"/>
          </w:tcPr>
          <w:p w:rsidR="00BF7263" w:rsidRPr="00D509A8" w:rsidRDefault="00BF7263" w:rsidP="00621690">
            <w:pPr>
              <w:spacing w:before="0" w:after="0"/>
              <w:jc w:val="left"/>
            </w:pPr>
            <w:r w:rsidRPr="00D509A8">
              <w:t>24/10/2013</w:t>
            </w:r>
          </w:p>
        </w:tc>
        <w:tc>
          <w:tcPr>
            <w:tcW w:w="0" w:type="auto"/>
          </w:tcPr>
          <w:p w:rsidR="00BF7263" w:rsidRPr="00D509A8" w:rsidRDefault="00BF7263" w:rsidP="00621690">
            <w:pPr>
              <w:spacing w:before="0" w:after="0"/>
              <w:jc w:val="center"/>
            </w:pPr>
            <w:r w:rsidRPr="00D509A8">
              <w:t>2</w:t>
            </w:r>
          </w:p>
        </w:tc>
        <w:tc>
          <w:tcPr>
            <w:tcW w:w="0" w:type="auto"/>
          </w:tcPr>
          <w:p w:rsidR="00BF7263" w:rsidRPr="00D509A8" w:rsidRDefault="00BF7263" w:rsidP="00621690">
            <w:pPr>
              <w:spacing w:before="0" w:after="0"/>
              <w:jc w:val="center"/>
            </w:pPr>
            <w:r w:rsidRPr="00D509A8">
              <w:t>0</w:t>
            </w:r>
          </w:p>
        </w:tc>
        <w:tc>
          <w:tcPr>
            <w:tcW w:w="3132" w:type="dxa"/>
          </w:tcPr>
          <w:p w:rsidR="00BF7263" w:rsidRPr="00D509A8" w:rsidRDefault="00BF7263" w:rsidP="00621690">
            <w:pPr>
              <w:spacing w:before="0" w:after="0"/>
              <w:jc w:val="left"/>
            </w:pPr>
            <w:r w:rsidRPr="00D509A8">
              <w:t>Document available</w:t>
            </w:r>
          </w:p>
        </w:tc>
        <w:tc>
          <w:tcPr>
            <w:tcW w:w="2846" w:type="dxa"/>
          </w:tcPr>
          <w:p w:rsidR="00BF7263" w:rsidRPr="00D509A8" w:rsidRDefault="00BF7263" w:rsidP="00621690">
            <w:pPr>
              <w:spacing w:before="0" w:after="0"/>
              <w:jc w:val="left"/>
            </w:pPr>
            <w:r w:rsidRPr="00D509A8">
              <w:t>ICSM Permanent Committee on Geodesy</w:t>
            </w:r>
          </w:p>
        </w:tc>
      </w:tr>
      <w:tr w:rsidR="00BF7263" w:rsidRPr="00D509A8" w:rsidTr="00621690">
        <w:trPr>
          <w:cnfStyle w:val="000000010000" w:firstRow="0" w:lastRow="0" w:firstColumn="0" w:lastColumn="0" w:oddVBand="0" w:evenVBand="0" w:oddHBand="0" w:evenHBand="1" w:firstRowFirstColumn="0" w:firstRowLastColumn="0" w:lastRowFirstColumn="0" w:lastRowLastColumn="0"/>
        </w:trPr>
        <w:tc>
          <w:tcPr>
            <w:tcW w:w="0" w:type="auto"/>
          </w:tcPr>
          <w:p w:rsidR="00BF7263" w:rsidRPr="00D509A8" w:rsidRDefault="00084967" w:rsidP="00084967">
            <w:pPr>
              <w:spacing w:before="0" w:after="0"/>
              <w:jc w:val="left"/>
            </w:pPr>
            <w:r>
              <w:t>24</w:t>
            </w:r>
            <w:r w:rsidR="00B20C69">
              <w:t>/09</w:t>
            </w:r>
            <w:r w:rsidR="00BA0CEF">
              <w:t>/2014</w:t>
            </w:r>
          </w:p>
        </w:tc>
        <w:tc>
          <w:tcPr>
            <w:tcW w:w="0" w:type="auto"/>
          </w:tcPr>
          <w:p w:rsidR="00BF7263" w:rsidRPr="00D509A8" w:rsidRDefault="00BA0CEF" w:rsidP="00621690">
            <w:pPr>
              <w:spacing w:before="0" w:after="0"/>
              <w:jc w:val="center"/>
            </w:pPr>
            <w:r>
              <w:t>2</w:t>
            </w:r>
          </w:p>
        </w:tc>
        <w:tc>
          <w:tcPr>
            <w:tcW w:w="0" w:type="auto"/>
          </w:tcPr>
          <w:p w:rsidR="00BF7263" w:rsidRPr="00D509A8" w:rsidRDefault="00BA0CEF" w:rsidP="00621690">
            <w:pPr>
              <w:spacing w:before="0" w:after="0"/>
              <w:jc w:val="center"/>
            </w:pPr>
            <w:r>
              <w:t>1</w:t>
            </w:r>
          </w:p>
        </w:tc>
        <w:tc>
          <w:tcPr>
            <w:tcW w:w="3132" w:type="dxa"/>
          </w:tcPr>
          <w:p w:rsidR="00BF7263" w:rsidRPr="00D509A8" w:rsidRDefault="00020FC2" w:rsidP="00621690">
            <w:pPr>
              <w:spacing w:before="0" w:after="0"/>
              <w:jc w:val="left"/>
            </w:pPr>
            <w:r>
              <w:t>C</w:t>
            </w:r>
            <w:r w:rsidR="00177F12">
              <w:t>opyright updated</w:t>
            </w:r>
          </w:p>
        </w:tc>
        <w:tc>
          <w:tcPr>
            <w:tcW w:w="2846" w:type="dxa"/>
          </w:tcPr>
          <w:p w:rsidR="00BF7263" w:rsidRPr="00D509A8" w:rsidRDefault="00BA0CEF" w:rsidP="00621690">
            <w:pPr>
              <w:spacing w:before="0" w:after="0"/>
              <w:jc w:val="left"/>
            </w:pPr>
            <w:r w:rsidRPr="00D509A8">
              <w:t>ICSM Permanent Committee on Geodesy</w:t>
            </w:r>
          </w:p>
        </w:tc>
      </w:tr>
      <w:tr w:rsidR="00BF7263" w:rsidRPr="00D509A8" w:rsidTr="00621690">
        <w:trPr>
          <w:cnfStyle w:val="000000100000" w:firstRow="0" w:lastRow="0" w:firstColumn="0" w:lastColumn="0" w:oddVBand="0" w:evenVBand="0" w:oddHBand="1" w:evenHBand="0" w:firstRowFirstColumn="0" w:firstRowLastColumn="0" w:lastRowFirstColumn="0" w:lastRowLastColumn="0"/>
        </w:trPr>
        <w:tc>
          <w:tcPr>
            <w:tcW w:w="0" w:type="auto"/>
          </w:tcPr>
          <w:p w:rsidR="00BF7263" w:rsidRPr="00D509A8" w:rsidRDefault="00BF7263" w:rsidP="00621690">
            <w:pPr>
              <w:spacing w:before="0" w:after="0"/>
              <w:jc w:val="left"/>
            </w:pPr>
          </w:p>
        </w:tc>
        <w:tc>
          <w:tcPr>
            <w:tcW w:w="0" w:type="auto"/>
          </w:tcPr>
          <w:p w:rsidR="00BF7263" w:rsidRPr="00D509A8" w:rsidRDefault="00BF7263" w:rsidP="00621690">
            <w:pPr>
              <w:spacing w:before="0" w:after="0"/>
              <w:jc w:val="center"/>
            </w:pPr>
          </w:p>
        </w:tc>
        <w:tc>
          <w:tcPr>
            <w:tcW w:w="0" w:type="auto"/>
          </w:tcPr>
          <w:p w:rsidR="00BF7263" w:rsidRPr="00D509A8" w:rsidRDefault="00BF7263" w:rsidP="00621690">
            <w:pPr>
              <w:spacing w:before="0" w:after="0"/>
              <w:jc w:val="center"/>
            </w:pPr>
          </w:p>
        </w:tc>
        <w:tc>
          <w:tcPr>
            <w:tcW w:w="3132" w:type="dxa"/>
          </w:tcPr>
          <w:p w:rsidR="00BF7263" w:rsidRPr="00D509A8" w:rsidRDefault="00BF7263" w:rsidP="00621690">
            <w:pPr>
              <w:spacing w:before="0" w:after="0"/>
              <w:jc w:val="left"/>
            </w:pPr>
          </w:p>
        </w:tc>
        <w:tc>
          <w:tcPr>
            <w:tcW w:w="2846" w:type="dxa"/>
          </w:tcPr>
          <w:p w:rsidR="00BF7263" w:rsidRPr="00D509A8" w:rsidRDefault="00BF7263" w:rsidP="00621690">
            <w:pPr>
              <w:spacing w:before="0" w:after="0"/>
              <w:jc w:val="left"/>
            </w:pPr>
          </w:p>
        </w:tc>
      </w:tr>
    </w:tbl>
    <w:p w:rsidR="00BF7263" w:rsidRDefault="00BF7263" w:rsidP="00B45EBE">
      <w:pPr>
        <w:pStyle w:val="NoSpacing"/>
      </w:pPr>
    </w:p>
    <w:p w:rsidR="00020FC2" w:rsidRDefault="00020FC2" w:rsidP="00020FC2">
      <w:pPr>
        <w:autoSpaceDE w:val="0"/>
        <w:autoSpaceDN w:val="0"/>
        <w:ind w:left="110"/>
        <w:rPr>
          <w:rFonts w:ascii="Times New Roman" w:hAnsi="Times New Roman"/>
          <w:sz w:val="20"/>
          <w:szCs w:val="20"/>
        </w:rPr>
      </w:pPr>
      <w:r>
        <w:rPr>
          <w:rFonts w:ascii="Times New Roman" w:hAnsi="Times New Roman"/>
          <w:noProof/>
          <w:sz w:val="24"/>
        </w:rPr>
        <w:drawing>
          <wp:inline distT="0" distB="0" distL="0" distR="0" wp14:anchorId="503096F1" wp14:editId="731B8832">
            <wp:extent cx="758825" cy="267335"/>
            <wp:effectExtent l="0" t="0" r="3175" b="0"/>
            <wp:docPr id="4" name="Picture 4" descr="cid:image003.jpg@01CFCD16.091A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CD16.091A32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8825" cy="267335"/>
                    </a:xfrm>
                    <a:prstGeom prst="rect">
                      <a:avLst/>
                    </a:prstGeom>
                    <a:noFill/>
                    <a:ln>
                      <a:noFill/>
                    </a:ln>
                  </pic:spPr>
                </pic:pic>
              </a:graphicData>
            </a:graphic>
          </wp:inline>
        </w:drawing>
      </w:r>
    </w:p>
    <w:p w:rsidR="00020FC2" w:rsidRPr="00C01089" w:rsidRDefault="00020FC2" w:rsidP="00020FC2">
      <w:pPr>
        <w:autoSpaceDE w:val="0"/>
        <w:autoSpaceDN w:val="0"/>
        <w:spacing w:before="93"/>
        <w:ind w:left="110"/>
        <w:rPr>
          <w:rFonts w:asciiTheme="minorHAnsi" w:hAnsiTheme="minorHAnsi" w:cs="Arial"/>
          <w:color w:val="000000"/>
          <w:szCs w:val="23"/>
        </w:rPr>
      </w:pPr>
      <w:r w:rsidRPr="00C01089">
        <w:rPr>
          <w:rFonts w:asciiTheme="minorHAnsi" w:hAnsiTheme="minorHAnsi" w:cs="Arial"/>
          <w:color w:val="231F20"/>
          <w:szCs w:val="23"/>
        </w:rPr>
        <w:t>©</w:t>
      </w:r>
      <w:r w:rsidRPr="00C01089">
        <w:rPr>
          <w:rFonts w:asciiTheme="minorHAnsi" w:hAnsiTheme="minorHAnsi" w:cs="Arial"/>
          <w:color w:val="231F20"/>
          <w:spacing w:val="7"/>
          <w:szCs w:val="23"/>
        </w:rPr>
        <w:t xml:space="preserv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w:t>
      </w:r>
      <w:r w:rsidRPr="00C01089">
        <w:rPr>
          <w:rFonts w:asciiTheme="minorHAnsi" w:hAnsiTheme="minorHAnsi" w:cs="Arial"/>
          <w:color w:val="231F20"/>
          <w:spacing w:val="-2"/>
          <w:szCs w:val="23"/>
        </w:rPr>
        <w:t>nw</w:t>
      </w:r>
      <w:r w:rsidRPr="00C01089">
        <w:rPr>
          <w:rFonts w:asciiTheme="minorHAnsi" w:hAnsiTheme="minorHAnsi" w:cs="Arial"/>
          <w:color w:val="231F20"/>
          <w:szCs w:val="23"/>
        </w:rPr>
        <w:t>eal</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4"/>
          <w:szCs w:val="23"/>
        </w:rPr>
        <w:t>(</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w:t>
      </w:r>
      <w:r w:rsidRPr="00C01089">
        <w:rPr>
          <w:rFonts w:asciiTheme="minorHAnsi" w:hAnsiTheme="minorHAnsi" w:cs="Arial"/>
          <w:color w:val="231F20"/>
          <w:spacing w:val="4"/>
          <w:szCs w:val="23"/>
        </w:rPr>
        <w:t>M</w:t>
      </w:r>
      <w:r w:rsidRPr="00C01089">
        <w:rPr>
          <w:rFonts w:asciiTheme="minorHAnsi" w:hAnsiTheme="minorHAnsi" w:cs="Arial"/>
          <w:color w:val="231F20"/>
          <w:szCs w:val="23"/>
        </w:rPr>
        <w:t>)</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201</w:t>
      </w:r>
      <w:r>
        <w:rPr>
          <w:rFonts w:asciiTheme="minorHAnsi" w:hAnsiTheme="minorHAnsi" w:cs="Arial"/>
          <w:color w:val="231F20"/>
          <w:szCs w:val="23"/>
        </w:rPr>
        <w:t>4</w:t>
      </w:r>
    </w:p>
    <w:p w:rsidR="00020FC2" w:rsidRPr="00C01089" w:rsidRDefault="00020FC2" w:rsidP="00020FC2">
      <w:pPr>
        <w:autoSpaceDE w:val="0"/>
        <w:autoSpaceDN w:val="0"/>
        <w:ind w:left="110"/>
        <w:jc w:val="left"/>
        <w:rPr>
          <w:rFonts w:asciiTheme="minorHAnsi" w:hAnsiTheme="minorHAnsi" w:cs="Arial"/>
          <w:color w:val="231F20"/>
          <w:szCs w:val="23"/>
        </w:rPr>
      </w:pPr>
      <w:r w:rsidRPr="00C01089">
        <w:rPr>
          <w:rFonts w:asciiTheme="minorHAnsi" w:hAnsiTheme="minorHAnsi" w:cs="Arial"/>
          <w:color w:val="231F20"/>
          <w:szCs w:val="23"/>
        </w:rPr>
        <w:t>Wi</w:t>
      </w:r>
      <w:r w:rsidRPr="00C01089">
        <w:rPr>
          <w:rFonts w:asciiTheme="minorHAnsi" w:hAnsiTheme="minorHAnsi" w:cs="Arial"/>
          <w:color w:val="231F20"/>
          <w:spacing w:val="-2"/>
          <w:szCs w:val="23"/>
        </w:rPr>
        <w:t>t</w:t>
      </w:r>
      <w:r w:rsidRPr="00C01089">
        <w:rPr>
          <w:rFonts w:asciiTheme="minorHAnsi" w:hAnsiTheme="minorHAnsi" w:cs="Arial"/>
          <w:color w:val="231F20"/>
          <w:szCs w:val="23"/>
        </w:rPr>
        <w:t>h</w:t>
      </w:r>
      <w:r w:rsidRPr="00C01089">
        <w:rPr>
          <w:rFonts w:asciiTheme="minorHAnsi" w:hAnsiTheme="minorHAnsi" w:cs="Arial"/>
          <w:color w:val="231F20"/>
          <w:spacing w:val="3"/>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pacing w:val="-3"/>
          <w:szCs w:val="23"/>
        </w:rPr>
        <w:t>e</w:t>
      </w:r>
      <w:r w:rsidRPr="00C01089">
        <w:rPr>
          <w:rFonts w:asciiTheme="minorHAnsi" w:hAnsiTheme="minorHAnsi" w:cs="Arial"/>
          <w:color w:val="231F20"/>
          <w:spacing w:val="-4"/>
          <w:szCs w:val="23"/>
        </w:rPr>
        <w:t>x</w:t>
      </w:r>
      <w:r w:rsidRPr="00C01089">
        <w:rPr>
          <w:rFonts w:asciiTheme="minorHAnsi" w:hAnsiTheme="minorHAnsi" w:cs="Arial"/>
          <w:color w:val="231F20"/>
          <w:szCs w:val="23"/>
        </w:rPr>
        <w:t>cep</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of</w:t>
      </w:r>
      <w:r w:rsidRPr="00C01089">
        <w:rPr>
          <w:rFonts w:asciiTheme="minorHAnsi" w:hAnsiTheme="minorHAnsi" w:cs="Arial"/>
          <w:color w:val="231F20"/>
          <w:spacing w:val="-9"/>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I</w:t>
      </w:r>
      <w:r w:rsidRPr="00C01089">
        <w:rPr>
          <w:rFonts w:asciiTheme="minorHAnsi" w:hAnsiTheme="minorHAnsi" w:cs="Arial"/>
          <w:color w:val="231F20"/>
          <w:spacing w:val="2"/>
          <w:szCs w:val="23"/>
        </w:rPr>
        <w:t>C</w:t>
      </w:r>
      <w:r w:rsidRPr="00C01089">
        <w:rPr>
          <w:rFonts w:asciiTheme="minorHAnsi" w:hAnsiTheme="minorHAnsi" w:cs="Arial"/>
          <w:color w:val="231F20"/>
          <w:szCs w:val="23"/>
        </w:rPr>
        <w:t>SM</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lo</w:t>
      </w:r>
      <w:r w:rsidRPr="00C01089">
        <w:rPr>
          <w:rFonts w:asciiTheme="minorHAnsi" w:hAnsiTheme="minorHAnsi" w:cs="Arial"/>
          <w:color w:val="231F20"/>
          <w:spacing w:val="-1"/>
          <w:szCs w:val="23"/>
        </w:rPr>
        <w:t>g</w:t>
      </w:r>
      <w:r w:rsidRPr="00C01089">
        <w:rPr>
          <w:rFonts w:asciiTheme="minorHAnsi" w:hAnsiTheme="minorHAnsi" w:cs="Arial"/>
          <w:color w:val="231F20"/>
          <w:szCs w:val="23"/>
        </w:rPr>
        <w:t>o</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and</w:t>
      </w:r>
      <w:r w:rsidRPr="00C01089">
        <w:rPr>
          <w:rFonts w:asciiTheme="minorHAnsi" w:hAnsiTheme="minorHAnsi" w:cs="Arial"/>
          <w:color w:val="231F20"/>
          <w:spacing w:val="-17"/>
          <w:szCs w:val="23"/>
        </w:rPr>
        <w:t xml:space="preserve"> </w:t>
      </w:r>
      <w:r w:rsidRPr="00C01089">
        <w:rPr>
          <w:rFonts w:asciiTheme="minorHAnsi" w:hAnsiTheme="minorHAnsi" w:cs="Arial"/>
          <w:color w:val="231F20"/>
          <w:szCs w:val="23"/>
        </w:rPr>
        <w:t>whe</w:t>
      </w:r>
      <w:r w:rsidRPr="00C01089">
        <w:rPr>
          <w:rFonts w:asciiTheme="minorHAnsi" w:hAnsiTheme="minorHAnsi" w:cs="Arial"/>
          <w:color w:val="231F20"/>
          <w:spacing w:val="-2"/>
          <w:szCs w:val="23"/>
        </w:rPr>
        <w:t>r</w:t>
      </w:r>
      <w:r w:rsidRPr="00C01089">
        <w:rPr>
          <w:rFonts w:asciiTheme="minorHAnsi" w:hAnsiTheme="minorHAnsi" w:cs="Arial"/>
          <w:color w:val="231F20"/>
          <w:szCs w:val="23"/>
        </w:rPr>
        <w:t>e</w:t>
      </w:r>
      <w:r w:rsidRPr="00C01089">
        <w:rPr>
          <w:rFonts w:asciiTheme="minorHAnsi" w:hAnsiTheme="minorHAnsi" w:cs="Arial"/>
          <w:color w:val="231F20"/>
          <w:spacing w:val="5"/>
          <w:szCs w:val="23"/>
        </w:rPr>
        <w:t xml:space="preserve"> </w:t>
      </w:r>
      <w:r w:rsidRPr="00C01089">
        <w:rPr>
          <w:rFonts w:asciiTheme="minorHAnsi" w:hAnsiTheme="minorHAnsi" w:cs="Arial"/>
          <w:color w:val="231F20"/>
          <w:spacing w:val="-1"/>
          <w:szCs w:val="23"/>
        </w:rPr>
        <w:t>o</w:t>
      </w:r>
      <w:r w:rsidRPr="00C01089">
        <w:rPr>
          <w:rFonts w:asciiTheme="minorHAnsi" w:hAnsiTheme="minorHAnsi" w:cs="Arial"/>
          <w:color w:val="231F20"/>
          <w:spacing w:val="-2"/>
          <w:szCs w:val="23"/>
        </w:rPr>
        <w:t>t</w:t>
      </w:r>
      <w:r w:rsidRPr="00C01089">
        <w:rPr>
          <w:rFonts w:asciiTheme="minorHAnsi" w:hAnsiTheme="minorHAnsi" w:cs="Arial"/>
          <w:color w:val="231F20"/>
          <w:szCs w:val="23"/>
        </w:rPr>
        <w:t>he</w:t>
      </w:r>
      <w:r w:rsidRPr="00C01089">
        <w:rPr>
          <w:rFonts w:asciiTheme="minorHAnsi" w:hAnsiTheme="minorHAnsi" w:cs="Arial"/>
          <w:color w:val="231F20"/>
          <w:spacing w:val="6"/>
          <w:szCs w:val="23"/>
        </w:rPr>
        <w:t>r</w:t>
      </w:r>
      <w:r w:rsidRPr="00C01089">
        <w:rPr>
          <w:rFonts w:asciiTheme="minorHAnsi" w:hAnsiTheme="minorHAnsi" w:cs="Arial"/>
          <w:color w:val="231F20"/>
          <w:szCs w:val="23"/>
        </w:rPr>
        <w:t>wise</w:t>
      </w:r>
      <w:r w:rsidRPr="00C01089">
        <w:rPr>
          <w:rFonts w:asciiTheme="minorHAnsi" w:hAnsiTheme="minorHAnsi" w:cs="Arial"/>
          <w:color w:val="231F20"/>
          <w:spacing w:val="3"/>
          <w:szCs w:val="23"/>
        </w:rPr>
        <w:t xml:space="preserve"> </w:t>
      </w:r>
      <w:r w:rsidRPr="00C01089">
        <w:rPr>
          <w:rFonts w:asciiTheme="minorHAnsi" w:hAnsiTheme="minorHAnsi" w:cs="Arial"/>
          <w:color w:val="231F20"/>
          <w:szCs w:val="23"/>
        </w:rPr>
        <w:t>n</w:t>
      </w:r>
      <w:r w:rsidRPr="00C01089">
        <w:rPr>
          <w:rFonts w:asciiTheme="minorHAnsi" w:hAnsiTheme="minorHAnsi" w:cs="Arial"/>
          <w:color w:val="231F20"/>
          <w:spacing w:val="-1"/>
          <w:szCs w:val="23"/>
        </w:rPr>
        <w:t>o</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d</w:t>
      </w:r>
      <w:r w:rsidRPr="00C01089">
        <w:rPr>
          <w:rFonts w:asciiTheme="minorHAnsi" w:hAnsiTheme="minorHAnsi" w:cs="Arial"/>
          <w:color w:val="231F20"/>
          <w:szCs w:val="23"/>
        </w:rPr>
        <w:t>,</w:t>
      </w:r>
      <w:r w:rsidRPr="00C01089">
        <w:rPr>
          <w:rFonts w:asciiTheme="minorHAnsi" w:hAnsiTheme="minorHAnsi" w:cs="Arial"/>
          <w:color w:val="231F20"/>
          <w:spacing w:val="9"/>
          <w:szCs w:val="23"/>
        </w:rPr>
        <w:t xml:space="preserve"> </w:t>
      </w:r>
      <w:r w:rsidRPr="00C01089">
        <w:rPr>
          <w:rFonts w:asciiTheme="minorHAnsi" w:hAnsiTheme="minorHAnsi" w:cs="Arial"/>
          <w:color w:val="231F20"/>
          <w:szCs w:val="23"/>
        </w:rPr>
        <w:t>all</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ma</w:t>
      </w:r>
      <w:r w:rsidRPr="00C01089">
        <w:rPr>
          <w:rFonts w:asciiTheme="minorHAnsi" w:hAnsiTheme="minorHAnsi" w:cs="Arial"/>
          <w:color w:val="231F20"/>
          <w:spacing w:val="-4"/>
          <w:szCs w:val="23"/>
        </w:rPr>
        <w:t>t</w:t>
      </w:r>
      <w:r w:rsidRPr="00C01089">
        <w:rPr>
          <w:rFonts w:asciiTheme="minorHAnsi" w:hAnsiTheme="minorHAnsi" w:cs="Arial"/>
          <w:color w:val="231F20"/>
          <w:szCs w:val="23"/>
        </w:rPr>
        <w:t>e</w:t>
      </w:r>
      <w:r w:rsidRPr="00C01089">
        <w:rPr>
          <w:rFonts w:asciiTheme="minorHAnsi" w:hAnsiTheme="minorHAnsi" w:cs="Arial"/>
          <w:color w:val="231F20"/>
          <w:spacing w:val="1"/>
          <w:szCs w:val="23"/>
        </w:rPr>
        <w:t>r</w:t>
      </w:r>
      <w:r w:rsidRPr="00C01089">
        <w:rPr>
          <w:rFonts w:asciiTheme="minorHAnsi" w:hAnsiTheme="minorHAnsi" w:cs="Arial"/>
          <w:color w:val="231F20"/>
          <w:szCs w:val="23"/>
        </w:rPr>
        <w:t>ial</w:t>
      </w:r>
      <w:r w:rsidRPr="00C01089">
        <w:rPr>
          <w:rFonts w:asciiTheme="minorHAnsi" w:hAnsiTheme="minorHAnsi" w:cs="Arial"/>
          <w:color w:val="231F20"/>
          <w:spacing w:val="6"/>
          <w:szCs w:val="23"/>
        </w:rPr>
        <w:t xml:space="preserve"> </w:t>
      </w:r>
      <w:r w:rsidRPr="00C01089">
        <w:rPr>
          <w:rFonts w:asciiTheme="minorHAnsi" w:hAnsiTheme="minorHAnsi" w:cs="Arial"/>
          <w:color w:val="231F20"/>
          <w:szCs w:val="23"/>
        </w:rPr>
        <w:t>in</w:t>
      </w:r>
      <w:r w:rsidRPr="00C01089">
        <w:rPr>
          <w:rFonts w:asciiTheme="minorHAnsi" w:hAnsiTheme="minorHAnsi" w:cs="Arial"/>
          <w:color w:val="231F20"/>
          <w:spacing w:val="-8"/>
          <w:szCs w:val="23"/>
        </w:rPr>
        <w:t xml:space="preserve"> </w:t>
      </w:r>
      <w:r w:rsidRPr="00C01089">
        <w:rPr>
          <w:rFonts w:asciiTheme="minorHAnsi" w:hAnsiTheme="minorHAnsi" w:cs="Arial"/>
          <w:color w:val="231F20"/>
          <w:spacing w:val="-2"/>
          <w:szCs w:val="23"/>
        </w:rPr>
        <w:t>t</w:t>
      </w:r>
      <w:r w:rsidRPr="00C01089">
        <w:rPr>
          <w:rFonts w:asciiTheme="minorHAnsi" w:hAnsiTheme="minorHAnsi" w:cs="Arial"/>
          <w:color w:val="231F20"/>
          <w:szCs w:val="23"/>
        </w:rPr>
        <w:t>his publi</w:t>
      </w:r>
      <w:r w:rsidRPr="00C01089">
        <w:rPr>
          <w:rFonts w:asciiTheme="minorHAnsi" w:hAnsiTheme="minorHAnsi" w:cs="Arial"/>
          <w:color w:val="231F20"/>
          <w:spacing w:val="1"/>
          <w:szCs w:val="23"/>
        </w:rPr>
        <w:t>c</w:t>
      </w:r>
      <w:r w:rsidRPr="00C01089">
        <w:rPr>
          <w:rFonts w:asciiTheme="minorHAnsi" w:hAnsiTheme="minorHAnsi" w:cs="Arial"/>
          <w:color w:val="231F20"/>
          <w:szCs w:val="23"/>
        </w:rPr>
        <w:t>a</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20"/>
          <w:szCs w:val="23"/>
        </w:rPr>
        <w:t xml:space="preserve"> </w:t>
      </w:r>
      <w:r w:rsidRPr="00C01089">
        <w:rPr>
          <w:rFonts w:asciiTheme="minorHAnsi" w:hAnsiTheme="minorHAnsi" w:cs="Arial"/>
          <w:color w:val="231F20"/>
          <w:szCs w:val="23"/>
        </w:rPr>
        <w:t>is</w:t>
      </w:r>
      <w:r w:rsidRPr="00C01089">
        <w:rPr>
          <w:rFonts w:asciiTheme="minorHAnsi" w:hAnsiTheme="minorHAnsi" w:cs="Arial"/>
          <w:color w:val="231F20"/>
          <w:spacing w:val="-15"/>
          <w:szCs w:val="23"/>
        </w:rPr>
        <w:t xml:space="preserve"> </w:t>
      </w:r>
      <w:r w:rsidRPr="00C01089">
        <w:rPr>
          <w:rFonts w:asciiTheme="minorHAnsi" w:hAnsiTheme="minorHAnsi" w:cs="Arial"/>
          <w:color w:val="231F20"/>
          <w:szCs w:val="23"/>
        </w:rPr>
        <w:t>p</w:t>
      </w:r>
      <w:r w:rsidRPr="00C01089">
        <w:rPr>
          <w:rFonts w:asciiTheme="minorHAnsi" w:hAnsiTheme="minorHAnsi" w:cs="Arial"/>
          <w:color w:val="231F20"/>
          <w:spacing w:val="-2"/>
          <w:szCs w:val="23"/>
        </w:rPr>
        <w:t>r</w:t>
      </w:r>
      <w:r w:rsidRPr="00C01089">
        <w:rPr>
          <w:rFonts w:asciiTheme="minorHAnsi" w:hAnsiTheme="minorHAnsi" w:cs="Arial"/>
          <w:color w:val="231F20"/>
          <w:spacing w:val="-3"/>
          <w:szCs w:val="23"/>
        </w:rPr>
        <w:t>o</w:t>
      </w:r>
      <w:r w:rsidRPr="00C01089">
        <w:rPr>
          <w:rFonts w:asciiTheme="minorHAnsi" w:hAnsiTheme="minorHAnsi" w:cs="Arial"/>
          <w:color w:val="231F20"/>
          <w:szCs w:val="23"/>
        </w:rPr>
        <w:t>vided</w:t>
      </w:r>
      <w:r w:rsidRPr="00C01089">
        <w:rPr>
          <w:rFonts w:asciiTheme="minorHAnsi" w:hAnsiTheme="minorHAnsi" w:cs="Arial"/>
          <w:color w:val="231F20"/>
          <w:spacing w:val="4"/>
          <w:szCs w:val="23"/>
        </w:rPr>
        <w:t xml:space="preserve"> </w:t>
      </w:r>
      <w:r w:rsidRPr="00C01089">
        <w:rPr>
          <w:rFonts w:asciiTheme="minorHAnsi" w:hAnsiTheme="minorHAnsi" w:cs="Arial"/>
          <w:color w:val="231F20"/>
          <w:szCs w:val="23"/>
        </w:rPr>
        <w:t>under</w:t>
      </w:r>
      <w:r w:rsidRPr="00C01089">
        <w:rPr>
          <w:rFonts w:asciiTheme="minorHAnsi" w:hAnsiTheme="minorHAnsi" w:cs="Arial"/>
          <w:color w:val="231F20"/>
          <w:spacing w:val="2"/>
          <w:szCs w:val="23"/>
        </w:rPr>
        <w:t xml:space="preserve"> </w:t>
      </w:r>
      <w:r w:rsidRPr="00C01089">
        <w:rPr>
          <w:rFonts w:asciiTheme="minorHAnsi" w:hAnsiTheme="minorHAnsi" w:cs="Arial"/>
          <w:color w:val="231F20"/>
          <w:szCs w:val="23"/>
        </w:rPr>
        <w:t>a</w:t>
      </w:r>
      <w:r w:rsidRPr="00C01089">
        <w:rPr>
          <w:rFonts w:asciiTheme="minorHAnsi" w:hAnsiTheme="minorHAnsi" w:cs="Arial"/>
          <w:color w:val="231F20"/>
          <w:spacing w:val="-13"/>
          <w:szCs w:val="23"/>
        </w:rPr>
        <w:t xml:space="preserve"> </w:t>
      </w:r>
      <w:r w:rsidRPr="00C01089">
        <w:rPr>
          <w:rFonts w:asciiTheme="minorHAnsi" w:hAnsiTheme="minorHAnsi" w:cs="Arial"/>
          <w:color w:val="231F20"/>
          <w:szCs w:val="23"/>
        </w:rPr>
        <w:t>C</w:t>
      </w:r>
      <w:r w:rsidRPr="00C01089">
        <w:rPr>
          <w:rFonts w:asciiTheme="minorHAnsi" w:hAnsiTheme="minorHAnsi" w:cs="Arial"/>
          <w:color w:val="231F20"/>
          <w:spacing w:val="-2"/>
          <w:szCs w:val="23"/>
        </w:rPr>
        <w:t>r</w:t>
      </w:r>
      <w:r w:rsidRPr="00C01089">
        <w:rPr>
          <w:rFonts w:asciiTheme="minorHAnsi" w:hAnsiTheme="minorHAnsi" w:cs="Arial"/>
          <w:color w:val="231F20"/>
          <w:szCs w:val="23"/>
        </w:rPr>
        <w:t>ea</w:t>
      </w:r>
      <w:r w:rsidRPr="00C01089">
        <w:rPr>
          <w:rFonts w:asciiTheme="minorHAnsi" w:hAnsiTheme="minorHAnsi" w:cs="Arial"/>
          <w:color w:val="231F20"/>
          <w:spacing w:val="-2"/>
          <w:szCs w:val="23"/>
        </w:rPr>
        <w:t>t</w:t>
      </w:r>
      <w:r w:rsidRPr="00C01089">
        <w:rPr>
          <w:rFonts w:asciiTheme="minorHAnsi" w:hAnsiTheme="minorHAnsi" w:cs="Arial"/>
          <w:color w:val="231F20"/>
          <w:szCs w:val="23"/>
        </w:rPr>
        <w:t>i</w:t>
      </w:r>
      <w:r w:rsidRPr="00C01089">
        <w:rPr>
          <w:rFonts w:asciiTheme="minorHAnsi" w:hAnsiTheme="minorHAnsi" w:cs="Arial"/>
          <w:color w:val="231F20"/>
          <w:spacing w:val="-2"/>
          <w:szCs w:val="23"/>
        </w:rPr>
        <w:t>v</w:t>
      </w:r>
      <w:r w:rsidRPr="00C01089">
        <w:rPr>
          <w:rFonts w:asciiTheme="minorHAnsi" w:hAnsiTheme="minorHAnsi" w:cs="Arial"/>
          <w:color w:val="231F20"/>
          <w:szCs w:val="23"/>
        </w:rPr>
        <w:t xml:space="preserve">e </w:t>
      </w:r>
      <w:r w:rsidRPr="00C01089">
        <w:rPr>
          <w:rFonts w:asciiTheme="minorHAnsi" w:hAnsiTheme="minorHAnsi" w:cs="Arial"/>
          <w:color w:val="231F20"/>
          <w:spacing w:val="1"/>
          <w:szCs w:val="23"/>
        </w:rPr>
        <w:t>C</w:t>
      </w:r>
      <w:r w:rsidRPr="00C01089">
        <w:rPr>
          <w:rFonts w:asciiTheme="minorHAnsi" w:hAnsiTheme="minorHAnsi" w:cs="Arial"/>
          <w:color w:val="231F20"/>
          <w:szCs w:val="23"/>
        </w:rPr>
        <w:t>ommons</w:t>
      </w:r>
      <w:r w:rsidRPr="00C01089">
        <w:rPr>
          <w:rFonts w:asciiTheme="minorHAnsi" w:hAnsiTheme="minorHAnsi" w:cs="Arial"/>
          <w:color w:val="231F20"/>
          <w:spacing w:val="15"/>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pacing w:val="6"/>
          <w:szCs w:val="23"/>
        </w:rPr>
        <w:t>t</w:t>
      </w:r>
      <w:r w:rsidRPr="00C01089">
        <w:rPr>
          <w:rFonts w:asciiTheme="minorHAnsi" w:hAnsiTheme="minorHAnsi" w:cs="Arial"/>
          <w:color w:val="231F20"/>
          <w:spacing w:val="-2"/>
          <w:szCs w:val="23"/>
        </w:rPr>
        <w:t>t</w:t>
      </w:r>
      <w:r w:rsidRPr="00C01089">
        <w:rPr>
          <w:rFonts w:asciiTheme="minorHAnsi" w:hAnsiTheme="minorHAnsi" w:cs="Arial"/>
          <w:color w:val="231F20"/>
          <w:spacing w:val="1"/>
          <w:szCs w:val="23"/>
        </w:rPr>
        <w:t>r</w:t>
      </w:r>
      <w:r w:rsidRPr="00C01089">
        <w:rPr>
          <w:rFonts w:asciiTheme="minorHAnsi" w:hAnsiTheme="minorHAnsi" w:cs="Arial"/>
          <w:color w:val="231F20"/>
          <w:szCs w:val="23"/>
        </w:rPr>
        <w:t>ibu</w:t>
      </w:r>
      <w:r w:rsidRPr="00C01089">
        <w:rPr>
          <w:rFonts w:asciiTheme="minorHAnsi" w:hAnsiTheme="minorHAnsi" w:cs="Arial"/>
          <w:color w:val="231F20"/>
          <w:spacing w:val="-2"/>
          <w:szCs w:val="23"/>
        </w:rPr>
        <w:t>t</w:t>
      </w:r>
      <w:r w:rsidRPr="00C01089">
        <w:rPr>
          <w:rFonts w:asciiTheme="minorHAnsi" w:hAnsiTheme="minorHAnsi" w:cs="Arial"/>
          <w:color w:val="231F20"/>
          <w:szCs w:val="23"/>
        </w:rPr>
        <w:t>ion</w:t>
      </w:r>
      <w:r w:rsidRPr="00C01089">
        <w:rPr>
          <w:rFonts w:asciiTheme="minorHAnsi" w:hAnsiTheme="minorHAnsi" w:cs="Arial"/>
          <w:color w:val="231F20"/>
          <w:spacing w:val="8"/>
          <w:szCs w:val="23"/>
        </w:rPr>
        <w:t xml:space="preserve"> </w:t>
      </w:r>
      <w:r w:rsidRPr="00C01089">
        <w:rPr>
          <w:rFonts w:asciiTheme="minorHAnsi" w:hAnsiTheme="minorHAnsi" w:cs="Arial"/>
          <w:color w:val="231F20"/>
          <w:szCs w:val="23"/>
        </w:rPr>
        <w:t>3.0</w:t>
      </w:r>
      <w:r w:rsidRPr="00C01089">
        <w:rPr>
          <w:rFonts w:asciiTheme="minorHAnsi" w:hAnsiTheme="minorHAnsi" w:cs="Arial"/>
          <w:color w:val="231F20"/>
          <w:spacing w:val="-16"/>
          <w:szCs w:val="23"/>
        </w:rPr>
        <w:t xml:space="preserve"> </w:t>
      </w:r>
      <w:r w:rsidRPr="00C01089">
        <w:rPr>
          <w:rFonts w:asciiTheme="minorHAnsi" w:hAnsiTheme="minorHAnsi" w:cs="Arial"/>
          <w:color w:val="231F20"/>
          <w:spacing w:val="-2"/>
          <w:szCs w:val="23"/>
        </w:rPr>
        <w:t>A</w:t>
      </w:r>
      <w:r w:rsidRPr="00C01089">
        <w:rPr>
          <w:rFonts w:asciiTheme="minorHAnsi" w:hAnsiTheme="minorHAnsi" w:cs="Arial"/>
          <w:color w:val="231F20"/>
          <w:szCs w:val="23"/>
        </w:rPr>
        <w:t>u</w:t>
      </w:r>
      <w:r w:rsidRPr="00C01089">
        <w:rPr>
          <w:rFonts w:asciiTheme="minorHAnsi" w:hAnsiTheme="minorHAnsi" w:cs="Arial"/>
          <w:color w:val="231F20"/>
          <w:spacing w:val="1"/>
          <w:szCs w:val="23"/>
        </w:rPr>
        <w:t>s</w:t>
      </w:r>
      <w:r w:rsidRPr="00C01089">
        <w:rPr>
          <w:rFonts w:asciiTheme="minorHAnsi" w:hAnsiTheme="minorHAnsi" w:cs="Arial"/>
          <w:color w:val="231F20"/>
          <w:spacing w:val="-2"/>
          <w:szCs w:val="23"/>
        </w:rPr>
        <w:t>t</w:t>
      </w:r>
      <w:r w:rsidRPr="00C01089">
        <w:rPr>
          <w:rFonts w:asciiTheme="minorHAnsi" w:hAnsiTheme="minorHAnsi" w:cs="Arial"/>
          <w:color w:val="231F20"/>
          <w:szCs w:val="23"/>
        </w:rPr>
        <w:t>ralia Licence</w:t>
      </w:r>
      <w:r w:rsidRPr="00C01089">
        <w:rPr>
          <w:rFonts w:asciiTheme="minorHAnsi" w:hAnsiTheme="minorHAnsi" w:cs="Arial"/>
          <w:color w:val="231F20"/>
          <w:spacing w:val="22"/>
          <w:szCs w:val="23"/>
        </w:rPr>
        <w:t xml:space="preserve"> </w:t>
      </w:r>
      <w:r w:rsidRPr="00C01089">
        <w:rPr>
          <w:rFonts w:asciiTheme="minorHAnsi" w:hAnsiTheme="minorHAnsi" w:cs="Arial"/>
          <w:color w:val="231F20"/>
          <w:spacing w:val="2"/>
          <w:szCs w:val="23"/>
        </w:rPr>
        <w:t>(</w:t>
      </w:r>
      <w:hyperlink r:id="rId11" w:history="1">
        <w:r w:rsidRPr="00C01089">
          <w:rPr>
            <w:rStyle w:val="Hyperlink"/>
            <w:rFonts w:asciiTheme="minorHAnsi" w:hAnsiTheme="minorHAnsi" w:cs="Arial"/>
            <w:szCs w:val="23"/>
          </w:rPr>
          <w:t>h</w:t>
        </w:r>
        <w:r w:rsidRPr="00C01089">
          <w:rPr>
            <w:rStyle w:val="Hyperlink"/>
            <w:rFonts w:asciiTheme="minorHAnsi" w:hAnsiTheme="minorHAnsi" w:cs="Arial"/>
            <w:spacing w:val="6"/>
            <w:szCs w:val="23"/>
          </w:rPr>
          <w:t>t</w:t>
        </w:r>
        <w:r w:rsidRPr="00C01089">
          <w:rPr>
            <w:rStyle w:val="Hyperlink"/>
            <w:rFonts w:asciiTheme="minorHAnsi" w:hAnsiTheme="minorHAnsi" w:cs="Arial"/>
            <w:spacing w:val="-2"/>
            <w:szCs w:val="23"/>
          </w:rPr>
          <w:t>t</w:t>
        </w:r>
        <w:r w:rsidRPr="00C01089">
          <w:rPr>
            <w:rStyle w:val="Hyperlink"/>
            <w:rFonts w:asciiTheme="minorHAnsi" w:hAnsiTheme="minorHAnsi" w:cs="Arial"/>
            <w:spacing w:val="3"/>
            <w:szCs w:val="23"/>
          </w:rPr>
          <w:t>p</w:t>
        </w:r>
        <w:r w:rsidRPr="00C01089">
          <w:rPr>
            <w:rStyle w:val="Hyperlink"/>
            <w:rFonts w:asciiTheme="minorHAnsi" w:hAnsiTheme="minorHAnsi" w:cs="Arial"/>
            <w:szCs w:val="23"/>
          </w:rPr>
          <w:t>:</w:t>
        </w:r>
        <w:r w:rsidRPr="00C01089">
          <w:rPr>
            <w:rStyle w:val="Hyperlink"/>
            <w:rFonts w:asciiTheme="minorHAnsi" w:hAnsiTheme="minorHAnsi" w:cs="Arial"/>
            <w:spacing w:val="-7"/>
            <w:szCs w:val="23"/>
          </w:rPr>
          <w:t>/</w:t>
        </w:r>
        <w:r w:rsidRPr="00C01089">
          <w:rPr>
            <w:rStyle w:val="Hyperlink"/>
            <w:rFonts w:asciiTheme="minorHAnsi" w:hAnsiTheme="minorHAnsi" w:cs="Arial"/>
            <w:szCs w:val="23"/>
          </w:rPr>
          <w:t>/ww</w:t>
        </w:r>
        <w:r w:rsidRPr="00C01089">
          <w:rPr>
            <w:rStyle w:val="Hyperlink"/>
            <w:rFonts w:asciiTheme="minorHAnsi" w:hAnsiTheme="minorHAnsi" w:cs="Arial"/>
            <w:spacing w:val="-7"/>
            <w:szCs w:val="23"/>
          </w:rPr>
          <w:t>w</w:t>
        </w:r>
        <w:r w:rsidRPr="00C01089">
          <w:rPr>
            <w:rStyle w:val="Hyperlink"/>
            <w:rFonts w:asciiTheme="minorHAnsi" w:hAnsiTheme="minorHAnsi" w:cs="Arial"/>
            <w:szCs w:val="23"/>
          </w:rPr>
          <w:t>.c</w:t>
        </w:r>
        <w:r w:rsidRPr="00C01089">
          <w:rPr>
            <w:rStyle w:val="Hyperlink"/>
            <w:rFonts w:asciiTheme="minorHAnsi" w:hAnsiTheme="minorHAnsi" w:cs="Arial"/>
            <w:spacing w:val="-2"/>
            <w:szCs w:val="23"/>
          </w:rPr>
          <w:t>r</w:t>
        </w:r>
        <w:r w:rsidRPr="00C01089">
          <w:rPr>
            <w:rStyle w:val="Hyperlink"/>
            <w:rFonts w:asciiTheme="minorHAnsi" w:hAnsiTheme="minorHAnsi" w:cs="Arial"/>
            <w:szCs w:val="23"/>
          </w:rPr>
          <w:t>ea</w:t>
        </w:r>
        <w:r w:rsidRPr="00C01089">
          <w:rPr>
            <w:rStyle w:val="Hyperlink"/>
            <w:rFonts w:asciiTheme="minorHAnsi" w:hAnsiTheme="minorHAnsi" w:cs="Arial"/>
            <w:spacing w:val="-2"/>
            <w:szCs w:val="23"/>
          </w:rPr>
          <w:t>t</w:t>
        </w:r>
        <w:r w:rsidRPr="00C01089">
          <w:rPr>
            <w:rStyle w:val="Hyperlink"/>
            <w:rFonts w:asciiTheme="minorHAnsi" w:hAnsiTheme="minorHAnsi" w:cs="Arial"/>
            <w:szCs w:val="23"/>
          </w:rPr>
          <w:t>i</w:t>
        </w:r>
        <w:r w:rsidRPr="00C01089">
          <w:rPr>
            <w:rStyle w:val="Hyperlink"/>
            <w:rFonts w:asciiTheme="minorHAnsi" w:hAnsiTheme="minorHAnsi" w:cs="Arial"/>
            <w:spacing w:val="-2"/>
            <w:szCs w:val="23"/>
          </w:rPr>
          <w:t>v</w:t>
        </w:r>
        <w:r w:rsidRPr="00C01089">
          <w:rPr>
            <w:rStyle w:val="Hyperlink"/>
            <w:rFonts w:asciiTheme="minorHAnsi" w:hAnsiTheme="minorHAnsi" w:cs="Arial"/>
            <w:szCs w:val="23"/>
          </w:rPr>
          <w:t>ecommon</w:t>
        </w:r>
        <w:r w:rsidRPr="00C01089">
          <w:rPr>
            <w:rStyle w:val="Hyperlink"/>
            <w:rFonts w:asciiTheme="minorHAnsi" w:hAnsiTheme="minorHAnsi" w:cs="Arial"/>
            <w:spacing w:val="1"/>
            <w:szCs w:val="23"/>
          </w:rPr>
          <w:t>s</w:t>
        </w:r>
        <w:r w:rsidRPr="00C01089">
          <w:rPr>
            <w:rStyle w:val="Hyperlink"/>
            <w:rFonts w:asciiTheme="minorHAnsi" w:hAnsiTheme="minorHAnsi" w:cs="Arial"/>
            <w:szCs w:val="23"/>
          </w:rPr>
          <w:t>.o</w:t>
        </w:r>
        <w:r w:rsidRPr="00C01089">
          <w:rPr>
            <w:rStyle w:val="Hyperlink"/>
            <w:rFonts w:asciiTheme="minorHAnsi" w:hAnsiTheme="minorHAnsi" w:cs="Arial"/>
            <w:spacing w:val="-1"/>
            <w:szCs w:val="23"/>
          </w:rPr>
          <w:t>r</w:t>
        </w:r>
        <w:r w:rsidRPr="00C01089">
          <w:rPr>
            <w:rStyle w:val="Hyperlink"/>
            <w:rFonts w:asciiTheme="minorHAnsi" w:hAnsiTheme="minorHAnsi" w:cs="Arial"/>
            <w:szCs w:val="23"/>
          </w:rPr>
          <w:t>g</w:t>
        </w:r>
        <w:r w:rsidRPr="00C01089">
          <w:rPr>
            <w:rStyle w:val="Hyperlink"/>
            <w:rFonts w:asciiTheme="minorHAnsi" w:hAnsiTheme="minorHAnsi" w:cs="Arial"/>
            <w:spacing w:val="-2"/>
            <w:szCs w:val="23"/>
          </w:rPr>
          <w:t>/</w:t>
        </w:r>
        <w:r w:rsidRPr="00C01089">
          <w:rPr>
            <w:rStyle w:val="Hyperlink"/>
            <w:rFonts w:asciiTheme="minorHAnsi" w:hAnsiTheme="minorHAnsi" w:cs="Arial"/>
            <w:szCs w:val="23"/>
          </w:rPr>
          <w:t>licens</w:t>
        </w:r>
        <w:r w:rsidRPr="00C01089">
          <w:rPr>
            <w:rStyle w:val="Hyperlink"/>
            <w:rFonts w:asciiTheme="minorHAnsi" w:hAnsiTheme="minorHAnsi" w:cs="Arial"/>
            <w:spacing w:val="1"/>
            <w:szCs w:val="23"/>
          </w:rPr>
          <w:t>e</w:t>
        </w:r>
        <w:r w:rsidRPr="00C01089">
          <w:rPr>
            <w:rStyle w:val="Hyperlink"/>
            <w:rFonts w:asciiTheme="minorHAnsi" w:hAnsiTheme="minorHAnsi" w:cs="Arial"/>
            <w:szCs w:val="23"/>
          </w:rPr>
          <w:t>s</w:t>
        </w:r>
        <w:r w:rsidRPr="00C01089">
          <w:rPr>
            <w:rStyle w:val="Hyperlink"/>
            <w:rFonts w:asciiTheme="minorHAnsi" w:hAnsiTheme="minorHAnsi" w:cs="Arial"/>
            <w:spacing w:val="-2"/>
            <w:szCs w:val="23"/>
          </w:rPr>
          <w:t>/</w:t>
        </w:r>
        <w:r w:rsidRPr="00C01089">
          <w:rPr>
            <w:rStyle w:val="Hyperlink"/>
            <w:rFonts w:asciiTheme="minorHAnsi" w:hAnsiTheme="minorHAnsi" w:cs="Arial"/>
            <w:spacing w:val="-3"/>
            <w:szCs w:val="23"/>
          </w:rPr>
          <w:t>b</w:t>
        </w:r>
        <w:r w:rsidRPr="00C01089">
          <w:rPr>
            <w:rStyle w:val="Hyperlink"/>
            <w:rFonts w:asciiTheme="minorHAnsi" w:hAnsiTheme="minorHAnsi" w:cs="Arial"/>
            <w:szCs w:val="23"/>
          </w:rPr>
          <w:t>y/3.0/au</w:t>
        </w:r>
        <w:r w:rsidRPr="00C01089">
          <w:rPr>
            <w:rStyle w:val="Hyperlink"/>
            <w:rFonts w:asciiTheme="minorHAnsi" w:hAnsiTheme="minorHAnsi" w:cs="Arial"/>
            <w:spacing w:val="-1"/>
            <w:szCs w:val="23"/>
          </w:rPr>
          <w:t>/</w:t>
        </w:r>
      </w:hyperlink>
      <w:r w:rsidRPr="00C01089">
        <w:rPr>
          <w:rFonts w:asciiTheme="minorHAnsi" w:hAnsiTheme="minorHAnsi" w:cs="Arial"/>
          <w:color w:val="231F20"/>
          <w:szCs w:val="23"/>
        </w:rPr>
        <w:t>)</w:t>
      </w:r>
    </w:p>
    <w:p w:rsidR="00B45EBE" w:rsidRPr="007F291E" w:rsidRDefault="00B45EBE" w:rsidP="00B45EBE">
      <w:pPr>
        <w:spacing w:before="0" w:after="0"/>
      </w:pPr>
      <w:r w:rsidRPr="007F291E">
        <w:t xml:space="preserve"> </w:t>
      </w:r>
    </w:p>
    <w:p w:rsidR="00B45EBE" w:rsidRDefault="00B45EBE" w:rsidP="00B45EBE">
      <w:pPr>
        <w:pStyle w:val="NoSpacing"/>
      </w:pPr>
    </w:p>
    <w:p w:rsidR="00BF7263" w:rsidRDefault="00BF7263">
      <w:pPr>
        <w:spacing w:before="0" w:after="0"/>
        <w:jc w:val="left"/>
        <w:rPr>
          <w:rFonts w:ascii="Verdana" w:hAnsi="Verdana"/>
          <w:b/>
          <w:bCs/>
          <w:color w:val="4F6228" w:themeColor="accent3" w:themeShade="80"/>
          <w:sz w:val="30"/>
          <w:szCs w:val="20"/>
          <w:lang w:eastAsia="en-US"/>
        </w:rPr>
      </w:pPr>
      <w:r>
        <w:rPr>
          <w:color w:val="4F6228" w:themeColor="accent3" w:themeShade="80"/>
        </w:rPr>
        <w:br w:type="page"/>
      </w:r>
    </w:p>
    <w:p w:rsidR="00352EE4" w:rsidRPr="00BA4555" w:rsidRDefault="00352EE4" w:rsidP="009D75BB">
      <w:pPr>
        <w:pStyle w:val="Heading1Nonumbers"/>
        <w:rPr>
          <w:color w:val="4F6228" w:themeColor="accent3" w:themeShade="80"/>
        </w:rPr>
      </w:pPr>
      <w:bookmarkStart w:id="5" w:name="_Toc399489499"/>
      <w:r w:rsidRPr="00BA4555">
        <w:rPr>
          <w:color w:val="4F6228" w:themeColor="accent3" w:themeShade="80"/>
        </w:rPr>
        <w:lastRenderedPageBreak/>
        <w:t>Table of contents</w:t>
      </w:r>
      <w:bookmarkEnd w:id="1"/>
      <w:bookmarkEnd w:id="2"/>
      <w:bookmarkEnd w:id="3"/>
      <w:bookmarkEnd w:id="4"/>
      <w:bookmarkEnd w:id="5"/>
    </w:p>
    <w:p w:rsidR="00AA362E" w:rsidRPr="009E6A95" w:rsidRDefault="00AA362E" w:rsidP="00AA362E">
      <w:pPr>
        <w:pStyle w:val="TOC1"/>
        <w:rPr>
          <w:color w:val="262626" w:themeColor="text1" w:themeTint="D9"/>
        </w:rPr>
      </w:pPr>
    </w:p>
    <w:p w:rsidR="00020FC2" w:rsidRDefault="00352EE4">
      <w:pPr>
        <w:pStyle w:val="TOC1"/>
        <w:rPr>
          <w:rFonts w:asciiTheme="minorHAnsi" w:eastAsiaTheme="minorEastAsia" w:hAnsiTheme="minorHAnsi" w:cstheme="minorBidi"/>
          <w:b w:val="0"/>
          <w:bCs w:val="0"/>
          <w:noProof/>
          <w:sz w:val="22"/>
          <w:lang w:eastAsia="en-AU"/>
        </w:rPr>
      </w:pPr>
      <w:r w:rsidRPr="009E6A95">
        <w:rPr>
          <w:vanish/>
          <w:color w:val="262626" w:themeColor="text1" w:themeTint="D9"/>
        </w:rPr>
        <w:fldChar w:fldCharType="begin"/>
      </w:r>
      <w:r w:rsidRPr="009E6A95">
        <w:rPr>
          <w:vanish/>
          <w:color w:val="262626" w:themeColor="text1" w:themeTint="D9"/>
        </w:rPr>
        <w:instrText xml:space="preserve"> TOC \o "1-3" \h \z \t "Appendix A,2,Style Caption + 16 pt Not Bold,1" </w:instrText>
      </w:r>
      <w:r w:rsidRPr="009E6A95">
        <w:rPr>
          <w:vanish/>
          <w:color w:val="262626" w:themeColor="text1" w:themeTint="D9"/>
        </w:rPr>
        <w:fldChar w:fldCharType="separate"/>
      </w:r>
      <w:hyperlink w:anchor="_Toc399489498" w:history="1">
        <w:r w:rsidR="00020FC2" w:rsidRPr="0047074A">
          <w:rPr>
            <w:rStyle w:val="Hyperlink"/>
            <w:noProof/>
          </w:rPr>
          <w:t>Document History</w:t>
        </w:r>
        <w:r w:rsidR="00020FC2">
          <w:rPr>
            <w:noProof/>
            <w:webHidden/>
          </w:rPr>
          <w:tab/>
        </w:r>
        <w:r w:rsidR="00020FC2">
          <w:rPr>
            <w:noProof/>
            <w:webHidden/>
          </w:rPr>
          <w:fldChar w:fldCharType="begin"/>
        </w:r>
        <w:r w:rsidR="00020FC2">
          <w:rPr>
            <w:noProof/>
            <w:webHidden/>
          </w:rPr>
          <w:instrText xml:space="preserve"> PAGEREF _Toc399489498 \h </w:instrText>
        </w:r>
        <w:r w:rsidR="00020FC2">
          <w:rPr>
            <w:noProof/>
            <w:webHidden/>
          </w:rPr>
        </w:r>
        <w:r w:rsidR="00020FC2">
          <w:rPr>
            <w:noProof/>
            <w:webHidden/>
          </w:rPr>
          <w:fldChar w:fldCharType="separate"/>
        </w:r>
        <w:r w:rsidR="006F246B">
          <w:rPr>
            <w:noProof/>
            <w:webHidden/>
          </w:rPr>
          <w:t>ii</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499" w:history="1">
        <w:r w:rsidR="00020FC2" w:rsidRPr="0047074A">
          <w:rPr>
            <w:rStyle w:val="Hyperlink"/>
            <w:noProof/>
          </w:rPr>
          <w:t>Table of contents</w:t>
        </w:r>
        <w:r w:rsidR="00020FC2">
          <w:rPr>
            <w:noProof/>
            <w:webHidden/>
          </w:rPr>
          <w:tab/>
        </w:r>
        <w:r w:rsidR="00020FC2">
          <w:rPr>
            <w:noProof/>
            <w:webHidden/>
          </w:rPr>
          <w:fldChar w:fldCharType="begin"/>
        </w:r>
        <w:r w:rsidR="00020FC2">
          <w:rPr>
            <w:noProof/>
            <w:webHidden/>
          </w:rPr>
          <w:instrText xml:space="preserve"> PAGEREF _Toc399489499 \h </w:instrText>
        </w:r>
        <w:r w:rsidR="00020FC2">
          <w:rPr>
            <w:noProof/>
            <w:webHidden/>
          </w:rPr>
        </w:r>
        <w:r w:rsidR="00020FC2">
          <w:rPr>
            <w:noProof/>
            <w:webHidden/>
          </w:rPr>
          <w:fldChar w:fldCharType="separate"/>
        </w:r>
        <w:r w:rsidR="006F246B">
          <w:rPr>
            <w:noProof/>
            <w:webHidden/>
          </w:rPr>
          <w:t>iii</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500" w:history="1">
        <w:r w:rsidR="00020FC2" w:rsidRPr="0047074A">
          <w:rPr>
            <w:rStyle w:val="Hyperlink"/>
            <w:noProof/>
          </w:rPr>
          <w:t>Terms and definitions</w:t>
        </w:r>
        <w:r w:rsidR="00020FC2">
          <w:rPr>
            <w:noProof/>
            <w:webHidden/>
          </w:rPr>
          <w:tab/>
        </w:r>
        <w:r w:rsidR="00020FC2">
          <w:rPr>
            <w:noProof/>
            <w:webHidden/>
          </w:rPr>
          <w:fldChar w:fldCharType="begin"/>
        </w:r>
        <w:r w:rsidR="00020FC2">
          <w:rPr>
            <w:noProof/>
            <w:webHidden/>
          </w:rPr>
          <w:instrText xml:space="preserve"> PAGEREF _Toc399489500 \h </w:instrText>
        </w:r>
        <w:r w:rsidR="00020FC2">
          <w:rPr>
            <w:noProof/>
            <w:webHidden/>
          </w:rPr>
        </w:r>
        <w:r w:rsidR="00020FC2">
          <w:rPr>
            <w:noProof/>
            <w:webHidden/>
          </w:rPr>
          <w:fldChar w:fldCharType="separate"/>
        </w:r>
        <w:r w:rsidR="006F246B">
          <w:rPr>
            <w:noProof/>
            <w:webHidden/>
          </w:rPr>
          <w:t>iv</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501" w:history="1">
        <w:r w:rsidR="00020FC2" w:rsidRPr="0047074A">
          <w:rPr>
            <w:rStyle w:val="Hyperlink"/>
            <w:rFonts w:cs="Copperplate Gothic Bold"/>
            <w:noProof/>
            <w:spacing w:val="40"/>
          </w:rPr>
          <w:t>1</w:t>
        </w:r>
        <w:r w:rsidR="00020FC2">
          <w:rPr>
            <w:rFonts w:asciiTheme="minorHAnsi" w:eastAsiaTheme="minorEastAsia" w:hAnsiTheme="minorHAnsi" w:cstheme="minorBidi"/>
            <w:b w:val="0"/>
            <w:bCs w:val="0"/>
            <w:noProof/>
            <w:sz w:val="22"/>
            <w:lang w:eastAsia="en-AU"/>
          </w:rPr>
          <w:tab/>
        </w:r>
        <w:r w:rsidR="00020FC2" w:rsidRPr="0047074A">
          <w:rPr>
            <w:rStyle w:val="Hyperlink"/>
            <w:noProof/>
          </w:rPr>
          <w:t>About this Standard</w:t>
        </w:r>
        <w:r w:rsidR="00020FC2">
          <w:rPr>
            <w:noProof/>
            <w:webHidden/>
          </w:rPr>
          <w:tab/>
        </w:r>
        <w:r w:rsidR="00020FC2">
          <w:rPr>
            <w:noProof/>
            <w:webHidden/>
          </w:rPr>
          <w:fldChar w:fldCharType="begin"/>
        </w:r>
        <w:r w:rsidR="00020FC2">
          <w:rPr>
            <w:noProof/>
            <w:webHidden/>
          </w:rPr>
          <w:instrText xml:space="preserve"> PAGEREF _Toc399489501 \h </w:instrText>
        </w:r>
        <w:r w:rsidR="00020FC2">
          <w:rPr>
            <w:noProof/>
            <w:webHidden/>
          </w:rPr>
        </w:r>
        <w:r w:rsidR="00020FC2">
          <w:rPr>
            <w:noProof/>
            <w:webHidden/>
          </w:rPr>
          <w:fldChar w:fldCharType="separate"/>
        </w:r>
        <w:r w:rsidR="006F246B">
          <w:rPr>
            <w:noProof/>
            <w:webHidden/>
          </w:rPr>
          <w:t>1</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2" w:history="1">
        <w:r w:rsidR="00020FC2" w:rsidRPr="0047074A">
          <w:rPr>
            <w:rStyle w:val="Hyperlink"/>
            <w:noProof/>
          </w:rPr>
          <w:t>1.1</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Preface</w:t>
        </w:r>
        <w:r w:rsidR="00020FC2">
          <w:rPr>
            <w:noProof/>
            <w:webHidden/>
          </w:rPr>
          <w:tab/>
        </w:r>
        <w:r w:rsidR="00020FC2">
          <w:rPr>
            <w:noProof/>
            <w:webHidden/>
          </w:rPr>
          <w:fldChar w:fldCharType="begin"/>
        </w:r>
        <w:r w:rsidR="00020FC2">
          <w:rPr>
            <w:noProof/>
            <w:webHidden/>
          </w:rPr>
          <w:instrText xml:space="preserve"> PAGEREF _Toc399489502 \h </w:instrText>
        </w:r>
        <w:r w:rsidR="00020FC2">
          <w:rPr>
            <w:noProof/>
            <w:webHidden/>
          </w:rPr>
        </w:r>
        <w:r w:rsidR="00020FC2">
          <w:rPr>
            <w:noProof/>
            <w:webHidden/>
          </w:rPr>
          <w:fldChar w:fldCharType="separate"/>
        </w:r>
        <w:r w:rsidR="006F246B">
          <w:rPr>
            <w:noProof/>
            <w:webHidden/>
          </w:rPr>
          <w:t>1</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3" w:history="1">
        <w:r w:rsidR="00020FC2" w:rsidRPr="0047074A">
          <w:rPr>
            <w:rStyle w:val="Hyperlink"/>
            <w:noProof/>
          </w:rPr>
          <w:t>1.2</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Introduction</w:t>
        </w:r>
        <w:r w:rsidR="00020FC2">
          <w:rPr>
            <w:noProof/>
            <w:webHidden/>
          </w:rPr>
          <w:tab/>
        </w:r>
        <w:r w:rsidR="00020FC2">
          <w:rPr>
            <w:noProof/>
            <w:webHidden/>
          </w:rPr>
          <w:fldChar w:fldCharType="begin"/>
        </w:r>
        <w:r w:rsidR="00020FC2">
          <w:rPr>
            <w:noProof/>
            <w:webHidden/>
          </w:rPr>
          <w:instrText xml:space="preserve"> PAGEREF _Toc399489503 \h </w:instrText>
        </w:r>
        <w:r w:rsidR="00020FC2">
          <w:rPr>
            <w:noProof/>
            <w:webHidden/>
          </w:rPr>
        </w:r>
        <w:r w:rsidR="00020FC2">
          <w:rPr>
            <w:noProof/>
            <w:webHidden/>
          </w:rPr>
          <w:fldChar w:fldCharType="separate"/>
        </w:r>
        <w:r w:rsidR="006F246B">
          <w:rPr>
            <w:noProof/>
            <w:webHidden/>
          </w:rPr>
          <w:t>1</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4" w:history="1">
        <w:r w:rsidR="00020FC2" w:rsidRPr="0047074A">
          <w:rPr>
            <w:rStyle w:val="Hyperlink"/>
            <w:noProof/>
          </w:rPr>
          <w:t>1.3</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Scope</w:t>
        </w:r>
        <w:r w:rsidR="00020FC2">
          <w:rPr>
            <w:noProof/>
            <w:webHidden/>
          </w:rPr>
          <w:tab/>
        </w:r>
        <w:r w:rsidR="00020FC2">
          <w:rPr>
            <w:noProof/>
            <w:webHidden/>
          </w:rPr>
          <w:fldChar w:fldCharType="begin"/>
        </w:r>
        <w:r w:rsidR="00020FC2">
          <w:rPr>
            <w:noProof/>
            <w:webHidden/>
          </w:rPr>
          <w:instrText xml:space="preserve"> PAGEREF _Toc399489504 \h </w:instrText>
        </w:r>
        <w:r w:rsidR="00020FC2">
          <w:rPr>
            <w:noProof/>
            <w:webHidden/>
          </w:rPr>
        </w:r>
        <w:r w:rsidR="00020FC2">
          <w:rPr>
            <w:noProof/>
            <w:webHidden/>
          </w:rPr>
          <w:fldChar w:fldCharType="separate"/>
        </w:r>
        <w:r w:rsidR="006F246B">
          <w:rPr>
            <w:noProof/>
            <w:webHidden/>
          </w:rPr>
          <w:t>2</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5" w:history="1">
        <w:r w:rsidR="00020FC2" w:rsidRPr="0047074A">
          <w:rPr>
            <w:rStyle w:val="Hyperlink"/>
            <w:noProof/>
          </w:rPr>
          <w:t>1.4</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Normative References</w:t>
        </w:r>
        <w:r w:rsidR="00020FC2">
          <w:rPr>
            <w:noProof/>
            <w:webHidden/>
          </w:rPr>
          <w:tab/>
        </w:r>
        <w:r w:rsidR="00020FC2">
          <w:rPr>
            <w:noProof/>
            <w:webHidden/>
          </w:rPr>
          <w:fldChar w:fldCharType="begin"/>
        </w:r>
        <w:r w:rsidR="00020FC2">
          <w:rPr>
            <w:noProof/>
            <w:webHidden/>
          </w:rPr>
          <w:instrText xml:space="preserve"> PAGEREF _Toc399489505 \h </w:instrText>
        </w:r>
        <w:r w:rsidR="00020FC2">
          <w:rPr>
            <w:noProof/>
            <w:webHidden/>
          </w:rPr>
        </w:r>
        <w:r w:rsidR="00020FC2">
          <w:rPr>
            <w:noProof/>
            <w:webHidden/>
          </w:rPr>
          <w:fldChar w:fldCharType="separate"/>
        </w:r>
        <w:r w:rsidR="006F246B">
          <w:rPr>
            <w:noProof/>
            <w:webHidden/>
          </w:rPr>
          <w:t>3</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506" w:history="1">
        <w:r w:rsidR="00020FC2" w:rsidRPr="0047074A">
          <w:rPr>
            <w:rStyle w:val="Hyperlink"/>
            <w:rFonts w:cs="Copperplate Gothic Bold"/>
            <w:noProof/>
            <w:spacing w:val="40"/>
          </w:rPr>
          <w:t>2</w:t>
        </w:r>
        <w:r w:rsidR="00020FC2">
          <w:rPr>
            <w:rFonts w:asciiTheme="minorHAnsi" w:eastAsiaTheme="minorEastAsia" w:hAnsiTheme="minorHAnsi" w:cstheme="minorBidi"/>
            <w:b w:val="0"/>
            <w:bCs w:val="0"/>
            <w:noProof/>
            <w:sz w:val="22"/>
            <w:lang w:eastAsia="en-AU"/>
          </w:rPr>
          <w:tab/>
        </w:r>
        <w:r w:rsidR="00020FC2" w:rsidRPr="0047074A">
          <w:rPr>
            <w:rStyle w:val="Hyperlink"/>
            <w:noProof/>
          </w:rPr>
          <w:t>Connection to datum</w:t>
        </w:r>
        <w:r w:rsidR="00020FC2">
          <w:rPr>
            <w:noProof/>
            <w:webHidden/>
          </w:rPr>
          <w:tab/>
        </w:r>
        <w:r w:rsidR="00020FC2">
          <w:rPr>
            <w:noProof/>
            <w:webHidden/>
          </w:rPr>
          <w:fldChar w:fldCharType="begin"/>
        </w:r>
        <w:r w:rsidR="00020FC2">
          <w:rPr>
            <w:noProof/>
            <w:webHidden/>
          </w:rPr>
          <w:instrText xml:space="preserve"> PAGEREF _Toc399489506 \h </w:instrText>
        </w:r>
        <w:r w:rsidR="00020FC2">
          <w:rPr>
            <w:noProof/>
            <w:webHidden/>
          </w:rPr>
        </w:r>
        <w:r w:rsidR="00020FC2">
          <w:rPr>
            <w:noProof/>
            <w:webHidden/>
          </w:rPr>
          <w:fldChar w:fldCharType="separate"/>
        </w:r>
        <w:r w:rsidR="006F246B">
          <w:rPr>
            <w:noProof/>
            <w:webHidden/>
          </w:rPr>
          <w:t>4</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7" w:history="1">
        <w:r w:rsidR="00020FC2" w:rsidRPr="0047074A">
          <w:rPr>
            <w:rStyle w:val="Hyperlink"/>
            <w:noProof/>
          </w:rPr>
          <w:t>2.1</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National geodetic datum</w:t>
        </w:r>
        <w:r w:rsidR="00020FC2">
          <w:rPr>
            <w:noProof/>
            <w:webHidden/>
          </w:rPr>
          <w:tab/>
        </w:r>
        <w:r w:rsidR="00020FC2">
          <w:rPr>
            <w:noProof/>
            <w:webHidden/>
          </w:rPr>
          <w:fldChar w:fldCharType="begin"/>
        </w:r>
        <w:r w:rsidR="00020FC2">
          <w:rPr>
            <w:noProof/>
            <w:webHidden/>
          </w:rPr>
          <w:instrText xml:space="preserve"> PAGEREF _Toc399489507 \h </w:instrText>
        </w:r>
        <w:r w:rsidR="00020FC2">
          <w:rPr>
            <w:noProof/>
            <w:webHidden/>
          </w:rPr>
        </w:r>
        <w:r w:rsidR="00020FC2">
          <w:rPr>
            <w:noProof/>
            <w:webHidden/>
          </w:rPr>
          <w:fldChar w:fldCharType="separate"/>
        </w:r>
        <w:r w:rsidR="006F246B">
          <w:rPr>
            <w:noProof/>
            <w:webHidden/>
          </w:rPr>
          <w:t>4</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08" w:history="1">
        <w:r w:rsidR="00020FC2" w:rsidRPr="0047074A">
          <w:rPr>
            <w:rStyle w:val="Hyperlink"/>
            <w:noProof/>
          </w:rPr>
          <w:t>2.2</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National height datum</w:t>
        </w:r>
        <w:r w:rsidR="00020FC2">
          <w:rPr>
            <w:noProof/>
            <w:webHidden/>
          </w:rPr>
          <w:tab/>
        </w:r>
        <w:r w:rsidR="00020FC2">
          <w:rPr>
            <w:noProof/>
            <w:webHidden/>
          </w:rPr>
          <w:fldChar w:fldCharType="begin"/>
        </w:r>
        <w:r w:rsidR="00020FC2">
          <w:rPr>
            <w:noProof/>
            <w:webHidden/>
          </w:rPr>
          <w:instrText xml:space="preserve"> PAGEREF _Toc399489508 \h </w:instrText>
        </w:r>
        <w:r w:rsidR="00020FC2">
          <w:rPr>
            <w:noProof/>
            <w:webHidden/>
          </w:rPr>
        </w:r>
        <w:r w:rsidR="00020FC2">
          <w:rPr>
            <w:noProof/>
            <w:webHidden/>
          </w:rPr>
          <w:fldChar w:fldCharType="separate"/>
        </w:r>
        <w:r w:rsidR="006F246B">
          <w:rPr>
            <w:noProof/>
            <w:webHidden/>
          </w:rPr>
          <w:t>4</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509" w:history="1">
        <w:r w:rsidR="00020FC2" w:rsidRPr="0047074A">
          <w:rPr>
            <w:rStyle w:val="Hyperlink"/>
            <w:rFonts w:cs="Copperplate Gothic Bold"/>
            <w:noProof/>
            <w:spacing w:val="40"/>
          </w:rPr>
          <w:t>3</w:t>
        </w:r>
        <w:r w:rsidR="00020FC2">
          <w:rPr>
            <w:rFonts w:asciiTheme="minorHAnsi" w:eastAsiaTheme="minorEastAsia" w:hAnsiTheme="minorHAnsi" w:cstheme="minorBidi"/>
            <w:b w:val="0"/>
            <w:bCs w:val="0"/>
            <w:noProof/>
            <w:sz w:val="22"/>
            <w:lang w:eastAsia="en-AU"/>
          </w:rPr>
          <w:tab/>
        </w:r>
        <w:r w:rsidR="00020FC2" w:rsidRPr="0047074A">
          <w:rPr>
            <w:rStyle w:val="Hyperlink"/>
            <w:noProof/>
          </w:rPr>
          <w:t>Conducting control surveys</w:t>
        </w:r>
        <w:r w:rsidR="00020FC2">
          <w:rPr>
            <w:noProof/>
            <w:webHidden/>
          </w:rPr>
          <w:tab/>
        </w:r>
        <w:r w:rsidR="00020FC2">
          <w:rPr>
            <w:noProof/>
            <w:webHidden/>
          </w:rPr>
          <w:fldChar w:fldCharType="begin"/>
        </w:r>
        <w:r w:rsidR="00020FC2">
          <w:rPr>
            <w:noProof/>
            <w:webHidden/>
          </w:rPr>
          <w:instrText xml:space="preserve"> PAGEREF _Toc399489509 \h </w:instrText>
        </w:r>
        <w:r w:rsidR="00020FC2">
          <w:rPr>
            <w:noProof/>
            <w:webHidden/>
          </w:rPr>
        </w:r>
        <w:r w:rsidR="00020FC2">
          <w:rPr>
            <w:noProof/>
            <w:webHidden/>
          </w:rPr>
          <w:fldChar w:fldCharType="separate"/>
        </w:r>
        <w:r w:rsidR="006F246B">
          <w:rPr>
            <w:noProof/>
            <w:webHidden/>
          </w:rPr>
          <w:t>5</w:t>
        </w:r>
        <w:r w:rsidR="00020FC2">
          <w:rPr>
            <w:noProof/>
            <w:webHidden/>
          </w:rPr>
          <w:fldChar w:fldCharType="end"/>
        </w:r>
      </w:hyperlink>
    </w:p>
    <w:p w:rsidR="00020FC2" w:rsidRDefault="00754E02">
      <w:pPr>
        <w:pStyle w:val="TOC1"/>
        <w:rPr>
          <w:rFonts w:asciiTheme="minorHAnsi" w:eastAsiaTheme="minorEastAsia" w:hAnsiTheme="minorHAnsi" w:cstheme="minorBidi"/>
          <w:b w:val="0"/>
          <w:bCs w:val="0"/>
          <w:noProof/>
          <w:sz w:val="22"/>
          <w:lang w:eastAsia="en-AU"/>
        </w:rPr>
      </w:pPr>
      <w:hyperlink w:anchor="_Toc399489510" w:history="1">
        <w:r w:rsidR="00020FC2" w:rsidRPr="0047074A">
          <w:rPr>
            <w:rStyle w:val="Hyperlink"/>
            <w:rFonts w:cs="Copperplate Gothic Bold"/>
            <w:noProof/>
            <w:spacing w:val="40"/>
          </w:rPr>
          <w:t>4</w:t>
        </w:r>
        <w:r w:rsidR="00020FC2">
          <w:rPr>
            <w:rFonts w:asciiTheme="minorHAnsi" w:eastAsiaTheme="minorEastAsia" w:hAnsiTheme="minorHAnsi" w:cstheme="minorBidi"/>
            <w:b w:val="0"/>
            <w:bCs w:val="0"/>
            <w:noProof/>
            <w:sz w:val="22"/>
            <w:lang w:eastAsia="en-AU"/>
          </w:rPr>
          <w:tab/>
        </w:r>
        <w:r w:rsidR="00020FC2" w:rsidRPr="0047074A">
          <w:rPr>
            <w:rStyle w:val="Hyperlink"/>
            <w:noProof/>
          </w:rPr>
          <w:t>Quantifying survey quality</w:t>
        </w:r>
        <w:r w:rsidR="00020FC2">
          <w:rPr>
            <w:noProof/>
            <w:webHidden/>
          </w:rPr>
          <w:tab/>
        </w:r>
        <w:r w:rsidR="00020FC2">
          <w:rPr>
            <w:noProof/>
            <w:webHidden/>
          </w:rPr>
          <w:fldChar w:fldCharType="begin"/>
        </w:r>
        <w:r w:rsidR="00020FC2">
          <w:rPr>
            <w:noProof/>
            <w:webHidden/>
          </w:rPr>
          <w:instrText xml:space="preserve"> PAGEREF _Toc399489510 \h </w:instrText>
        </w:r>
        <w:r w:rsidR="00020FC2">
          <w:rPr>
            <w:noProof/>
            <w:webHidden/>
          </w:rPr>
        </w:r>
        <w:r w:rsidR="00020FC2">
          <w:rPr>
            <w:noProof/>
            <w:webHidden/>
          </w:rPr>
          <w:fldChar w:fldCharType="separate"/>
        </w:r>
        <w:r w:rsidR="006F246B">
          <w:rPr>
            <w:noProof/>
            <w:webHidden/>
          </w:rPr>
          <w:t>5</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11" w:history="1">
        <w:r w:rsidR="00020FC2" w:rsidRPr="0047074A">
          <w:rPr>
            <w:rStyle w:val="Hyperlink"/>
            <w:noProof/>
          </w:rPr>
          <w:t>4.1</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Evaluating uncertainty</w:t>
        </w:r>
        <w:r w:rsidR="00020FC2">
          <w:rPr>
            <w:noProof/>
            <w:webHidden/>
          </w:rPr>
          <w:tab/>
        </w:r>
        <w:r w:rsidR="00020FC2">
          <w:rPr>
            <w:noProof/>
            <w:webHidden/>
          </w:rPr>
          <w:fldChar w:fldCharType="begin"/>
        </w:r>
        <w:r w:rsidR="00020FC2">
          <w:rPr>
            <w:noProof/>
            <w:webHidden/>
          </w:rPr>
          <w:instrText xml:space="preserve"> PAGEREF _Toc399489511 \h </w:instrText>
        </w:r>
        <w:r w:rsidR="00020FC2">
          <w:rPr>
            <w:noProof/>
            <w:webHidden/>
          </w:rPr>
        </w:r>
        <w:r w:rsidR="00020FC2">
          <w:rPr>
            <w:noProof/>
            <w:webHidden/>
          </w:rPr>
          <w:fldChar w:fldCharType="separate"/>
        </w:r>
        <w:r w:rsidR="006F246B">
          <w:rPr>
            <w:noProof/>
            <w:webHidden/>
          </w:rPr>
          <w:t>5</w:t>
        </w:r>
        <w:r w:rsidR="00020FC2">
          <w:rPr>
            <w:noProof/>
            <w:webHidden/>
          </w:rPr>
          <w:fldChar w:fldCharType="end"/>
        </w:r>
      </w:hyperlink>
    </w:p>
    <w:p w:rsidR="00020FC2" w:rsidRDefault="00754E02">
      <w:pPr>
        <w:pStyle w:val="TOC3"/>
        <w:tabs>
          <w:tab w:val="left" w:pos="1276"/>
        </w:tabs>
        <w:rPr>
          <w:rFonts w:asciiTheme="minorHAnsi" w:eastAsiaTheme="minorEastAsia" w:hAnsiTheme="minorHAnsi" w:cstheme="minorBidi"/>
          <w:noProof/>
          <w:sz w:val="22"/>
          <w:szCs w:val="22"/>
        </w:rPr>
      </w:pPr>
      <w:hyperlink w:anchor="_Toc399489512" w:history="1">
        <w:r w:rsidR="00020FC2" w:rsidRPr="0047074A">
          <w:rPr>
            <w:rStyle w:val="Hyperlink"/>
            <w:rFonts w:eastAsia="Lucida Sans Unicode"/>
            <w:noProof/>
          </w:rPr>
          <w:t>4.1.1</w:t>
        </w:r>
        <w:r w:rsidR="00020FC2">
          <w:rPr>
            <w:rFonts w:asciiTheme="minorHAnsi" w:eastAsiaTheme="minorEastAsia" w:hAnsiTheme="minorHAnsi" w:cstheme="minorBidi"/>
            <w:noProof/>
            <w:sz w:val="22"/>
            <w:szCs w:val="22"/>
          </w:rPr>
          <w:tab/>
        </w:r>
        <w:r w:rsidR="00020FC2" w:rsidRPr="0047074A">
          <w:rPr>
            <w:rStyle w:val="Hyperlink"/>
            <w:rFonts w:eastAsia="Lucida Sans Unicode"/>
            <w:noProof/>
          </w:rPr>
          <w:t>Control surveys using least squares</w:t>
        </w:r>
        <w:r w:rsidR="00020FC2">
          <w:rPr>
            <w:noProof/>
            <w:webHidden/>
          </w:rPr>
          <w:tab/>
        </w:r>
        <w:r w:rsidR="00020FC2">
          <w:rPr>
            <w:noProof/>
            <w:webHidden/>
          </w:rPr>
          <w:fldChar w:fldCharType="begin"/>
        </w:r>
        <w:r w:rsidR="00020FC2">
          <w:rPr>
            <w:noProof/>
            <w:webHidden/>
          </w:rPr>
          <w:instrText xml:space="preserve"> PAGEREF _Toc399489512 \h </w:instrText>
        </w:r>
        <w:r w:rsidR="00020FC2">
          <w:rPr>
            <w:noProof/>
            <w:webHidden/>
          </w:rPr>
        </w:r>
        <w:r w:rsidR="00020FC2">
          <w:rPr>
            <w:noProof/>
            <w:webHidden/>
          </w:rPr>
          <w:fldChar w:fldCharType="separate"/>
        </w:r>
        <w:r w:rsidR="006F246B">
          <w:rPr>
            <w:noProof/>
            <w:webHidden/>
          </w:rPr>
          <w:t>5</w:t>
        </w:r>
        <w:r w:rsidR="00020FC2">
          <w:rPr>
            <w:noProof/>
            <w:webHidden/>
          </w:rPr>
          <w:fldChar w:fldCharType="end"/>
        </w:r>
      </w:hyperlink>
    </w:p>
    <w:p w:rsidR="00020FC2" w:rsidRDefault="00754E02">
      <w:pPr>
        <w:pStyle w:val="TOC3"/>
        <w:tabs>
          <w:tab w:val="left" w:pos="1276"/>
        </w:tabs>
        <w:rPr>
          <w:rFonts w:asciiTheme="minorHAnsi" w:eastAsiaTheme="minorEastAsia" w:hAnsiTheme="minorHAnsi" w:cstheme="minorBidi"/>
          <w:noProof/>
          <w:sz w:val="22"/>
          <w:szCs w:val="22"/>
        </w:rPr>
      </w:pPr>
      <w:hyperlink w:anchor="_Toc399489513" w:history="1">
        <w:r w:rsidR="00020FC2" w:rsidRPr="0047074A">
          <w:rPr>
            <w:rStyle w:val="Hyperlink"/>
            <w:rFonts w:eastAsia="Lucida Sans Unicode"/>
            <w:noProof/>
          </w:rPr>
          <w:t>4.1.2</w:t>
        </w:r>
        <w:r w:rsidR="00020FC2">
          <w:rPr>
            <w:rFonts w:asciiTheme="minorHAnsi" w:eastAsiaTheme="minorEastAsia" w:hAnsiTheme="minorHAnsi" w:cstheme="minorBidi"/>
            <w:noProof/>
            <w:sz w:val="22"/>
            <w:szCs w:val="22"/>
          </w:rPr>
          <w:tab/>
        </w:r>
        <w:r w:rsidR="00020FC2" w:rsidRPr="0047074A">
          <w:rPr>
            <w:rStyle w:val="Hyperlink"/>
            <w:rFonts w:eastAsia="Lucida Sans Unicode"/>
            <w:noProof/>
          </w:rPr>
          <w:t>Control surveys using other reliable statistical methods</w:t>
        </w:r>
        <w:r w:rsidR="00020FC2">
          <w:rPr>
            <w:noProof/>
            <w:webHidden/>
          </w:rPr>
          <w:tab/>
        </w:r>
        <w:r w:rsidR="00020FC2">
          <w:rPr>
            <w:noProof/>
            <w:webHidden/>
          </w:rPr>
          <w:fldChar w:fldCharType="begin"/>
        </w:r>
        <w:r w:rsidR="00020FC2">
          <w:rPr>
            <w:noProof/>
            <w:webHidden/>
          </w:rPr>
          <w:instrText xml:space="preserve"> PAGEREF _Toc399489513 \h </w:instrText>
        </w:r>
        <w:r w:rsidR="00020FC2">
          <w:rPr>
            <w:noProof/>
            <w:webHidden/>
          </w:rPr>
        </w:r>
        <w:r w:rsidR="00020FC2">
          <w:rPr>
            <w:noProof/>
            <w:webHidden/>
          </w:rPr>
          <w:fldChar w:fldCharType="separate"/>
        </w:r>
        <w:r w:rsidR="006F246B">
          <w:rPr>
            <w:noProof/>
            <w:webHidden/>
          </w:rPr>
          <w:t>6</w:t>
        </w:r>
        <w:r w:rsidR="00020FC2">
          <w:rPr>
            <w:noProof/>
            <w:webHidden/>
          </w:rPr>
          <w:fldChar w:fldCharType="end"/>
        </w:r>
      </w:hyperlink>
    </w:p>
    <w:p w:rsidR="00020FC2" w:rsidRDefault="00754E02">
      <w:pPr>
        <w:pStyle w:val="TOC2"/>
        <w:tabs>
          <w:tab w:val="left" w:pos="936"/>
        </w:tabs>
        <w:rPr>
          <w:rFonts w:asciiTheme="minorHAnsi" w:eastAsiaTheme="minorEastAsia" w:hAnsiTheme="minorHAnsi" w:cstheme="minorBidi"/>
          <w:bCs w:val="0"/>
          <w:noProof/>
          <w:sz w:val="22"/>
          <w:szCs w:val="22"/>
          <w:lang w:eastAsia="en-AU"/>
        </w:rPr>
      </w:pPr>
      <w:hyperlink w:anchor="_Toc399489514" w:history="1">
        <w:r w:rsidR="00020FC2" w:rsidRPr="0047074A">
          <w:rPr>
            <w:rStyle w:val="Hyperlink"/>
            <w:noProof/>
          </w:rPr>
          <w:t>4.2</w:t>
        </w:r>
        <w:r w:rsidR="00020FC2">
          <w:rPr>
            <w:rFonts w:asciiTheme="minorHAnsi" w:eastAsiaTheme="minorEastAsia" w:hAnsiTheme="minorHAnsi" w:cstheme="minorBidi"/>
            <w:bCs w:val="0"/>
            <w:noProof/>
            <w:sz w:val="22"/>
            <w:szCs w:val="22"/>
            <w:lang w:eastAsia="en-AU"/>
          </w:rPr>
          <w:tab/>
        </w:r>
        <w:r w:rsidR="00020FC2" w:rsidRPr="0047074A">
          <w:rPr>
            <w:rStyle w:val="Hyperlink"/>
            <w:noProof/>
          </w:rPr>
          <w:t>Expression of uncertainty</w:t>
        </w:r>
        <w:r w:rsidR="00020FC2">
          <w:rPr>
            <w:noProof/>
            <w:webHidden/>
          </w:rPr>
          <w:tab/>
        </w:r>
        <w:r w:rsidR="00020FC2">
          <w:rPr>
            <w:noProof/>
            <w:webHidden/>
          </w:rPr>
          <w:fldChar w:fldCharType="begin"/>
        </w:r>
        <w:r w:rsidR="00020FC2">
          <w:rPr>
            <w:noProof/>
            <w:webHidden/>
          </w:rPr>
          <w:instrText xml:space="preserve"> PAGEREF _Toc399489514 \h </w:instrText>
        </w:r>
        <w:r w:rsidR="00020FC2">
          <w:rPr>
            <w:noProof/>
            <w:webHidden/>
          </w:rPr>
        </w:r>
        <w:r w:rsidR="00020FC2">
          <w:rPr>
            <w:noProof/>
            <w:webHidden/>
          </w:rPr>
          <w:fldChar w:fldCharType="separate"/>
        </w:r>
        <w:r w:rsidR="006F246B">
          <w:rPr>
            <w:noProof/>
            <w:webHidden/>
          </w:rPr>
          <w:t>6</w:t>
        </w:r>
        <w:r w:rsidR="00020FC2">
          <w:rPr>
            <w:noProof/>
            <w:webHidden/>
          </w:rPr>
          <w:fldChar w:fldCharType="end"/>
        </w:r>
      </w:hyperlink>
    </w:p>
    <w:p w:rsidR="00020FC2" w:rsidRDefault="00754E02">
      <w:pPr>
        <w:pStyle w:val="TOC3"/>
        <w:tabs>
          <w:tab w:val="left" w:pos="1276"/>
        </w:tabs>
        <w:rPr>
          <w:rFonts w:asciiTheme="minorHAnsi" w:eastAsiaTheme="minorEastAsia" w:hAnsiTheme="minorHAnsi" w:cstheme="minorBidi"/>
          <w:noProof/>
          <w:sz w:val="22"/>
          <w:szCs w:val="22"/>
        </w:rPr>
      </w:pPr>
      <w:hyperlink w:anchor="_Toc399489515" w:history="1">
        <w:r w:rsidR="00020FC2" w:rsidRPr="0047074A">
          <w:rPr>
            <w:rStyle w:val="Hyperlink"/>
            <w:noProof/>
          </w:rPr>
          <w:t>4.2.1</w:t>
        </w:r>
        <w:r w:rsidR="00020FC2">
          <w:rPr>
            <w:rFonts w:asciiTheme="minorHAnsi" w:eastAsiaTheme="minorEastAsia" w:hAnsiTheme="minorHAnsi" w:cstheme="minorBidi"/>
            <w:noProof/>
            <w:sz w:val="22"/>
            <w:szCs w:val="22"/>
          </w:rPr>
          <w:tab/>
        </w:r>
        <w:r w:rsidR="00020FC2" w:rsidRPr="0047074A">
          <w:rPr>
            <w:rStyle w:val="Hyperlink"/>
            <w:noProof/>
          </w:rPr>
          <w:t>One, two and three dimensional uncertainty</w:t>
        </w:r>
        <w:r w:rsidR="00020FC2">
          <w:rPr>
            <w:noProof/>
            <w:webHidden/>
          </w:rPr>
          <w:tab/>
        </w:r>
        <w:r w:rsidR="00020FC2">
          <w:rPr>
            <w:noProof/>
            <w:webHidden/>
          </w:rPr>
          <w:fldChar w:fldCharType="begin"/>
        </w:r>
        <w:r w:rsidR="00020FC2">
          <w:rPr>
            <w:noProof/>
            <w:webHidden/>
          </w:rPr>
          <w:instrText xml:space="preserve"> PAGEREF _Toc399489515 \h </w:instrText>
        </w:r>
        <w:r w:rsidR="00020FC2">
          <w:rPr>
            <w:noProof/>
            <w:webHidden/>
          </w:rPr>
        </w:r>
        <w:r w:rsidR="00020FC2">
          <w:rPr>
            <w:noProof/>
            <w:webHidden/>
          </w:rPr>
          <w:fldChar w:fldCharType="separate"/>
        </w:r>
        <w:r w:rsidR="006F246B">
          <w:rPr>
            <w:noProof/>
            <w:webHidden/>
          </w:rPr>
          <w:t>6</w:t>
        </w:r>
        <w:r w:rsidR="00020FC2">
          <w:rPr>
            <w:noProof/>
            <w:webHidden/>
          </w:rPr>
          <w:fldChar w:fldCharType="end"/>
        </w:r>
      </w:hyperlink>
    </w:p>
    <w:p w:rsidR="00020FC2" w:rsidRDefault="00754E02">
      <w:pPr>
        <w:pStyle w:val="TOC3"/>
        <w:tabs>
          <w:tab w:val="left" w:pos="1276"/>
        </w:tabs>
        <w:rPr>
          <w:rFonts w:asciiTheme="minorHAnsi" w:eastAsiaTheme="minorEastAsia" w:hAnsiTheme="minorHAnsi" w:cstheme="minorBidi"/>
          <w:noProof/>
          <w:sz w:val="22"/>
          <w:szCs w:val="22"/>
        </w:rPr>
      </w:pPr>
      <w:hyperlink w:anchor="_Toc399489516" w:history="1">
        <w:r w:rsidR="00020FC2" w:rsidRPr="0047074A">
          <w:rPr>
            <w:rStyle w:val="Hyperlink"/>
            <w:noProof/>
          </w:rPr>
          <w:t>4.2.2</w:t>
        </w:r>
        <w:r w:rsidR="00020FC2">
          <w:rPr>
            <w:rFonts w:asciiTheme="minorHAnsi" w:eastAsiaTheme="minorEastAsia" w:hAnsiTheme="minorHAnsi" w:cstheme="minorBidi"/>
            <w:noProof/>
            <w:sz w:val="22"/>
            <w:szCs w:val="22"/>
          </w:rPr>
          <w:tab/>
        </w:r>
        <w:r w:rsidR="00020FC2" w:rsidRPr="0047074A">
          <w:rPr>
            <w:rStyle w:val="Hyperlink"/>
            <w:noProof/>
          </w:rPr>
          <w:t>AHD uncertainty</w:t>
        </w:r>
        <w:r w:rsidR="00020FC2">
          <w:rPr>
            <w:noProof/>
            <w:webHidden/>
          </w:rPr>
          <w:tab/>
        </w:r>
        <w:r w:rsidR="00020FC2">
          <w:rPr>
            <w:noProof/>
            <w:webHidden/>
          </w:rPr>
          <w:fldChar w:fldCharType="begin"/>
        </w:r>
        <w:r w:rsidR="00020FC2">
          <w:rPr>
            <w:noProof/>
            <w:webHidden/>
          </w:rPr>
          <w:instrText xml:space="preserve"> PAGEREF _Toc399489516 \h </w:instrText>
        </w:r>
        <w:r w:rsidR="00020FC2">
          <w:rPr>
            <w:noProof/>
            <w:webHidden/>
          </w:rPr>
        </w:r>
        <w:r w:rsidR="00020FC2">
          <w:rPr>
            <w:noProof/>
            <w:webHidden/>
          </w:rPr>
          <w:fldChar w:fldCharType="separate"/>
        </w:r>
        <w:r w:rsidR="006F246B">
          <w:rPr>
            <w:noProof/>
            <w:webHidden/>
          </w:rPr>
          <w:t>7</w:t>
        </w:r>
        <w:r w:rsidR="00020FC2">
          <w:rPr>
            <w:noProof/>
            <w:webHidden/>
          </w:rPr>
          <w:fldChar w:fldCharType="end"/>
        </w:r>
      </w:hyperlink>
    </w:p>
    <w:p w:rsidR="00637032" w:rsidRPr="009E6A95" w:rsidRDefault="00352EE4" w:rsidP="00D05F9E">
      <w:pPr>
        <w:pStyle w:val="Footer"/>
        <w:rPr>
          <w:color w:val="262626" w:themeColor="text1" w:themeTint="D9"/>
        </w:rPr>
      </w:pPr>
      <w:r w:rsidRPr="009E6A95">
        <w:rPr>
          <w:color w:val="262626" w:themeColor="text1" w:themeTint="D9"/>
        </w:rPr>
        <w:fldChar w:fldCharType="end"/>
      </w:r>
    </w:p>
    <w:p w:rsidR="00344711" w:rsidRPr="00BA4555" w:rsidRDefault="000613AE" w:rsidP="00AE4FD8">
      <w:pPr>
        <w:pStyle w:val="Heading1Nonumbers"/>
        <w:rPr>
          <w:color w:val="4F6228" w:themeColor="accent3" w:themeShade="80"/>
        </w:rPr>
      </w:pPr>
      <w:r w:rsidRPr="009E6A95">
        <w:rPr>
          <w:color w:val="262626" w:themeColor="text1" w:themeTint="D9"/>
        </w:rPr>
        <w:br w:type="page"/>
      </w:r>
      <w:bookmarkStart w:id="6" w:name="_Toc399489500"/>
      <w:r w:rsidR="00344711" w:rsidRPr="00BA4555">
        <w:rPr>
          <w:color w:val="4F6228" w:themeColor="accent3" w:themeShade="80"/>
        </w:rPr>
        <w:t>Terms and definitions</w:t>
      </w:r>
      <w:bookmarkEnd w:id="6"/>
    </w:p>
    <w:p w:rsidR="00344711" w:rsidRPr="009E6A95" w:rsidRDefault="00344711" w:rsidP="00344711">
      <w:pPr>
        <w:rPr>
          <w:color w:val="262626" w:themeColor="text1" w:themeTint="D9"/>
        </w:rPr>
      </w:pPr>
      <w:r w:rsidRPr="009E6A95">
        <w:rPr>
          <w:color w:val="262626" w:themeColor="text1" w:themeTint="D9"/>
        </w:rPr>
        <w:t>For the purpose of this Standard, the following terms and definitions shall apply.</w:t>
      </w:r>
    </w:p>
    <w:tbl>
      <w:tblPr>
        <w:tblW w:w="8613" w:type="dxa"/>
        <w:tblLook w:val="04A0" w:firstRow="1" w:lastRow="0" w:firstColumn="1" w:lastColumn="0" w:noHBand="0" w:noVBand="1"/>
      </w:tblPr>
      <w:tblGrid>
        <w:gridCol w:w="2586"/>
        <w:gridCol w:w="6027"/>
      </w:tblGrid>
      <w:tr w:rsidR="009E6A95" w:rsidRPr="009E6A95" w:rsidTr="00AF710B">
        <w:tc>
          <w:tcPr>
            <w:tcW w:w="2586" w:type="dxa"/>
          </w:tcPr>
          <w:p w:rsidR="00344711" w:rsidRPr="009E6A95" w:rsidRDefault="00344711" w:rsidP="00AF710B">
            <w:pPr>
              <w:pStyle w:val="Tableheadingtermsanddefs"/>
              <w:rPr>
                <w:color w:val="262626" w:themeColor="text1" w:themeTint="D9"/>
                <w:lang w:val="en-AU"/>
              </w:rPr>
            </w:pPr>
            <w:r w:rsidRPr="009E6A95">
              <w:rPr>
                <w:color w:val="262626" w:themeColor="text1" w:themeTint="D9"/>
                <w:lang w:val="en-AU"/>
              </w:rPr>
              <w:t>Term/Acronym</w:t>
            </w:r>
          </w:p>
        </w:tc>
        <w:tc>
          <w:tcPr>
            <w:tcW w:w="6027" w:type="dxa"/>
          </w:tcPr>
          <w:p w:rsidR="00344711" w:rsidRPr="009E6A95" w:rsidRDefault="00344711" w:rsidP="00AF710B">
            <w:pPr>
              <w:pStyle w:val="Tableheadingtermsanddefs"/>
              <w:rPr>
                <w:color w:val="262626" w:themeColor="text1" w:themeTint="D9"/>
                <w:szCs w:val="24"/>
              </w:rPr>
            </w:pPr>
            <w:r w:rsidRPr="009E6A95">
              <w:rPr>
                <w:color w:val="262626" w:themeColor="text1" w:themeTint="D9"/>
              </w:rPr>
              <w:t>Definition</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Accuracy</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The level of closeness of an estimated value – measured or computed – of a quantity to its true or accepted value.</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AFN</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Australian Fiducial Network. The network of 21 Continuously Operating Reference Stations (CORS) on the Australian continent that realise the recognised-value standard of measurement of position in accordance with the National Measurement Act 1960.  This recognised-value standard defines the Geocentric Datum of Australia 1994 (GDA94).</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AHD</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Australian Height Datum. Commonly used in reference to Australian Height Datum 1971 (AHD71) and Australian Height Datum (Tasmania) 1983 (AHD–TAS83).</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AHD71</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The Australian Height Datum 1971 is the NGRS normal–orthometric height datum for mainland Australia.</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 xml:space="preserve">AHD–TAS83 </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The Australian Height Datum (Tasmania) 1983 is the NGRS normal–orthometric height datum for </w:t>
            </w:r>
            <w:bookmarkStart w:id="7" w:name="OLE_LINK1"/>
            <w:bookmarkStart w:id="8" w:name="OLE_LINK2"/>
            <w:r w:rsidRPr="009E6A95">
              <w:rPr>
                <w:color w:val="262626" w:themeColor="text1" w:themeTint="D9"/>
              </w:rPr>
              <w:t xml:space="preserve">mainland Tasmania. </w:t>
            </w:r>
            <w:bookmarkEnd w:id="7"/>
            <w:bookmarkEnd w:id="8"/>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AUSGeoid</w:t>
            </w:r>
          </w:p>
        </w:tc>
        <w:tc>
          <w:tcPr>
            <w:tcW w:w="6027" w:type="dxa"/>
          </w:tcPr>
          <w:p w:rsidR="00A63921" w:rsidRPr="009E6A95" w:rsidRDefault="00A63921" w:rsidP="00394A0D">
            <w:pPr>
              <w:pStyle w:val="Tabletexttermsanddefs"/>
              <w:jc w:val="both"/>
              <w:rPr>
                <w:color w:val="262626" w:themeColor="text1" w:themeTint="D9"/>
              </w:rPr>
            </w:pPr>
            <w:r w:rsidRPr="009E6A95">
              <w:rPr>
                <w:color w:val="262626" w:themeColor="text1" w:themeTint="D9"/>
              </w:rPr>
              <w:t xml:space="preserve">The national quasi–geoid model for converting between GDA94 ellipsoidal heights and AHD heights. The </w:t>
            </w:r>
            <w:r w:rsidR="00394A0D">
              <w:rPr>
                <w:color w:val="262626" w:themeColor="text1" w:themeTint="D9"/>
              </w:rPr>
              <w:t>current</w:t>
            </w:r>
            <w:r w:rsidR="00394A0D" w:rsidRPr="009E6A95">
              <w:rPr>
                <w:color w:val="262626" w:themeColor="text1" w:themeTint="D9"/>
              </w:rPr>
              <w:t xml:space="preserve"> </w:t>
            </w:r>
            <w:r w:rsidRPr="009E6A95">
              <w:rPr>
                <w:color w:val="262626" w:themeColor="text1" w:themeTint="D9"/>
              </w:rPr>
              <w:t>version of AUSGeoid is AUSGeoid09.</w:t>
            </w:r>
          </w:p>
        </w:tc>
      </w:tr>
      <w:tr w:rsidR="00746926" w:rsidRPr="009E6A95" w:rsidTr="00AF710B">
        <w:tc>
          <w:tcPr>
            <w:tcW w:w="2586" w:type="dxa"/>
          </w:tcPr>
          <w:p w:rsidR="00746926" w:rsidRPr="009E6A95" w:rsidRDefault="00746926" w:rsidP="00E4014E">
            <w:pPr>
              <w:pStyle w:val="Tabletexttermsanddefs"/>
              <w:rPr>
                <w:color w:val="262626" w:themeColor="text1" w:themeTint="D9"/>
              </w:rPr>
            </w:pPr>
            <w:r w:rsidRPr="005D6BA0">
              <w:t xml:space="preserve">Circular </w:t>
            </w:r>
            <w:r>
              <w:t>c</w:t>
            </w:r>
            <w:r w:rsidRPr="005D6BA0">
              <w:t xml:space="preserve">onfidence </w:t>
            </w:r>
            <w:r>
              <w:t>r</w:t>
            </w:r>
            <w:r w:rsidRPr="005D6BA0">
              <w:t>egion</w:t>
            </w:r>
          </w:p>
        </w:tc>
        <w:tc>
          <w:tcPr>
            <w:tcW w:w="6027" w:type="dxa"/>
          </w:tcPr>
          <w:p w:rsidR="00746926" w:rsidRPr="009E6A95" w:rsidRDefault="00746926" w:rsidP="00394A0D">
            <w:pPr>
              <w:pStyle w:val="Tabletexttermsanddefs"/>
              <w:jc w:val="both"/>
              <w:rPr>
                <w:color w:val="262626" w:themeColor="text1" w:themeTint="D9"/>
              </w:rPr>
            </w:pPr>
            <w:r w:rsidRPr="005D6BA0">
              <w:t xml:space="preserve">A circular measure of uncertainty </w:t>
            </w:r>
            <w:r>
              <w:t>in the horizontal plane</w:t>
            </w:r>
            <w:r w:rsidRPr="005D6BA0">
              <w:t xml:space="preserve"> calculated from the standard error ellipse.</w:t>
            </w:r>
          </w:p>
        </w:tc>
      </w:tr>
      <w:tr w:rsidR="009E6A95" w:rsidRPr="009E6A95" w:rsidTr="00AF710B">
        <w:tc>
          <w:tcPr>
            <w:tcW w:w="2586" w:type="dxa"/>
          </w:tcPr>
          <w:p w:rsidR="00A63921" w:rsidRPr="009E6A95" w:rsidRDefault="00A63921" w:rsidP="0091615C">
            <w:pPr>
              <w:pStyle w:val="Tabletexttermsanddefs"/>
              <w:rPr>
                <w:color w:val="262626" w:themeColor="text1" w:themeTint="D9"/>
              </w:rPr>
            </w:pPr>
            <w:r w:rsidRPr="009E6A95">
              <w:rPr>
                <w:color w:val="262626" w:themeColor="text1" w:themeTint="D9"/>
              </w:rPr>
              <w:t>Constrained adjustment</w:t>
            </w:r>
            <w:r w:rsidR="0091615C">
              <w:rPr>
                <w:color w:val="262626" w:themeColor="text1" w:themeTint="D9"/>
              </w:rPr>
              <w:t>,</w:t>
            </w:r>
            <w:r w:rsidRPr="009E6A95">
              <w:rPr>
                <w:color w:val="262626" w:themeColor="text1" w:themeTint="D9"/>
              </w:rPr>
              <w:t xml:space="preserve"> fully</w:t>
            </w:r>
            <w:r w:rsidRPr="009E6A95" w:rsidDel="00A75B8A">
              <w:rPr>
                <w:color w:val="262626" w:themeColor="text1" w:themeTint="D9"/>
              </w:rPr>
              <w:t xml:space="preserve"> </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An adjustment which has a sufficient number of </w:t>
            </w:r>
            <w:bookmarkStart w:id="9" w:name="DDE_LINK"/>
            <w:r w:rsidRPr="009E6A95">
              <w:rPr>
                <w:color w:val="262626" w:themeColor="text1" w:themeTint="D9"/>
              </w:rPr>
              <w:t>constrained coordinate</w:t>
            </w:r>
            <w:bookmarkEnd w:id="9"/>
            <w:r w:rsidRPr="009E6A95">
              <w:rPr>
                <w:color w:val="262626" w:themeColor="text1" w:themeTint="D9"/>
              </w:rPr>
              <w:t>s to optimally propagate datum and uncertainty throughout the survey control mark network.</w:t>
            </w:r>
          </w:p>
        </w:tc>
      </w:tr>
      <w:tr w:rsidR="009E6A95" w:rsidRPr="009E6A95" w:rsidTr="00AF710B">
        <w:tc>
          <w:tcPr>
            <w:tcW w:w="2586" w:type="dxa"/>
          </w:tcPr>
          <w:p w:rsidR="00A63921" w:rsidRPr="009E6A95" w:rsidRDefault="00A63921" w:rsidP="0091615C">
            <w:pPr>
              <w:pStyle w:val="Tabletexttermsanddefs"/>
              <w:rPr>
                <w:color w:val="262626" w:themeColor="text1" w:themeTint="D9"/>
              </w:rPr>
            </w:pPr>
            <w:r w:rsidRPr="009E6A95">
              <w:rPr>
                <w:color w:val="262626" w:themeColor="text1" w:themeTint="D9"/>
              </w:rPr>
              <w:t>Constrained adjustment</w:t>
            </w:r>
            <w:r w:rsidR="0091615C">
              <w:rPr>
                <w:color w:val="262626" w:themeColor="text1" w:themeTint="D9"/>
              </w:rPr>
              <w:t>,</w:t>
            </w:r>
            <w:r w:rsidRPr="009E6A95">
              <w:rPr>
                <w:color w:val="262626" w:themeColor="text1" w:themeTint="D9"/>
              </w:rPr>
              <w:t xml:space="preserve"> minimally</w:t>
            </w:r>
          </w:p>
        </w:tc>
        <w:tc>
          <w:tcPr>
            <w:tcW w:w="6027" w:type="dxa"/>
          </w:tcPr>
          <w:p w:rsidR="00A63921" w:rsidRPr="009E6A95" w:rsidRDefault="00A63921" w:rsidP="00DF0DA6">
            <w:pPr>
              <w:pStyle w:val="Tabletexttermsanddefs"/>
              <w:jc w:val="both"/>
              <w:rPr>
                <w:color w:val="262626" w:themeColor="text1" w:themeTint="D9"/>
              </w:rPr>
            </w:pPr>
            <w:r w:rsidRPr="009E6A95">
              <w:rPr>
                <w:color w:val="262626" w:themeColor="text1" w:themeTint="D9"/>
              </w:rPr>
              <w:t xml:space="preserve">An adjustment which has the minimum number of constrained coordinates required to calculate all dimensions of the </w:t>
            </w:r>
            <w:r w:rsidR="00DF0DA6">
              <w:rPr>
                <w:color w:val="262626" w:themeColor="text1" w:themeTint="D9"/>
              </w:rPr>
              <w:t>network datum</w:t>
            </w:r>
            <w:r w:rsidRPr="009E6A95">
              <w:rPr>
                <w:color w:val="262626" w:themeColor="text1" w:themeTint="D9"/>
              </w:rPr>
              <w:t xml:space="preserve"> (one, two or three dimensions).</w:t>
            </w:r>
          </w:p>
        </w:tc>
      </w:tr>
      <w:tr w:rsidR="009E6A95" w:rsidRPr="009E6A95" w:rsidTr="00AF710B">
        <w:tc>
          <w:tcPr>
            <w:tcW w:w="2586" w:type="dxa"/>
          </w:tcPr>
          <w:p w:rsidR="00A63921" w:rsidRPr="009E6A95" w:rsidRDefault="00A63921" w:rsidP="0091615C">
            <w:pPr>
              <w:pStyle w:val="Tabletexttermsanddefs"/>
              <w:rPr>
                <w:color w:val="262626" w:themeColor="text1" w:themeTint="D9"/>
              </w:rPr>
            </w:pPr>
            <w:r w:rsidRPr="009E6A95">
              <w:rPr>
                <w:color w:val="262626" w:themeColor="text1" w:themeTint="D9"/>
              </w:rPr>
              <w:t>Control Survey</w:t>
            </w:r>
            <w:r w:rsidR="0091615C">
              <w:rPr>
                <w:color w:val="262626" w:themeColor="text1" w:themeTint="D9"/>
              </w:rPr>
              <w:t>,</w:t>
            </w:r>
            <w:r w:rsidRPr="009E6A95">
              <w:rPr>
                <w:color w:val="262626" w:themeColor="text1" w:themeTint="D9"/>
              </w:rPr>
              <w:t xml:space="preserve"> Datum</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A survey which </w:t>
            </w:r>
            <w:proofErr w:type="gramStart"/>
            <w:r w:rsidRPr="009E6A95">
              <w:rPr>
                <w:color w:val="262626" w:themeColor="text1" w:themeTint="D9"/>
              </w:rPr>
              <w:t>defines,</w:t>
            </w:r>
            <w:proofErr w:type="gramEnd"/>
            <w:r w:rsidRPr="009E6A95">
              <w:rPr>
                <w:color w:val="262626" w:themeColor="text1" w:themeTint="D9"/>
              </w:rPr>
              <w:t xml:space="preserve"> extends or improves the NGRS. These surveys are included in NGRS adjustments to allow for the most rigorous estimation and testing of position and uncertainty.</w:t>
            </w:r>
          </w:p>
        </w:tc>
      </w:tr>
      <w:tr w:rsidR="009E6A95" w:rsidRPr="009E6A95" w:rsidTr="00AF710B">
        <w:tc>
          <w:tcPr>
            <w:tcW w:w="2586" w:type="dxa"/>
          </w:tcPr>
          <w:p w:rsidR="00A63921" w:rsidRPr="009E6A95" w:rsidRDefault="00A63921" w:rsidP="0091615C">
            <w:pPr>
              <w:pStyle w:val="Tabletexttermsanddefs"/>
              <w:rPr>
                <w:color w:val="262626" w:themeColor="text1" w:themeTint="D9"/>
              </w:rPr>
            </w:pPr>
            <w:r w:rsidRPr="009E6A95">
              <w:rPr>
                <w:color w:val="262626" w:themeColor="text1" w:themeTint="D9"/>
              </w:rPr>
              <w:t>Control Survey</w:t>
            </w:r>
            <w:r w:rsidR="0091615C">
              <w:rPr>
                <w:color w:val="262626" w:themeColor="text1" w:themeTint="D9"/>
              </w:rPr>
              <w:t>,</w:t>
            </w:r>
            <w:r w:rsidRPr="009E6A95">
              <w:rPr>
                <w:color w:val="262626" w:themeColor="text1" w:themeTint="D9"/>
              </w:rPr>
              <w:t xml:space="preserve"> General Purpose</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 survey which connects to the NGRS for the purpose of estimating the position and uncertainty of new survey control marks relative to the NGRS. Such surveys are not included in NGRS adjustments.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CORS</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Continuously Operating Reference Station. A survey control mark hosting a permanent GNSS station.</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Datum</w:t>
            </w:r>
          </w:p>
        </w:tc>
        <w:tc>
          <w:tcPr>
            <w:tcW w:w="6027" w:type="dxa"/>
          </w:tcPr>
          <w:p w:rsidR="00A63921" w:rsidRPr="009E6A95" w:rsidRDefault="00A63921" w:rsidP="00DD3BDC">
            <w:pPr>
              <w:pStyle w:val="Tabletexttermsanddefs"/>
              <w:jc w:val="both"/>
              <w:rPr>
                <w:color w:val="262626" w:themeColor="text1" w:themeTint="D9"/>
              </w:rPr>
            </w:pPr>
            <w:r w:rsidRPr="009E6A95">
              <w:rPr>
                <w:color w:val="262626" w:themeColor="text1" w:themeTint="D9"/>
              </w:rPr>
              <w:t xml:space="preserve">An official, fully-defined, spatial reference </w:t>
            </w:r>
            <w:r w:rsidR="00DD3BDC">
              <w:rPr>
                <w:color w:val="262626" w:themeColor="text1" w:themeTint="D9"/>
              </w:rPr>
              <w:t>system or surface</w:t>
            </w:r>
            <w:r w:rsidRPr="009E6A95">
              <w:rPr>
                <w:color w:val="262626" w:themeColor="text1" w:themeTint="D9"/>
              </w:rPr>
              <w:t xml:space="preserve"> to which measurements and/or coordinates upon the Earth may be defined</w:t>
            </w:r>
            <w:r w:rsidR="00DD3BDC">
              <w:rPr>
                <w:color w:val="262626" w:themeColor="text1" w:themeTint="D9"/>
              </w:rPr>
              <w:t xml:space="preserve"> and related</w:t>
            </w:r>
            <w:r w:rsidRPr="009E6A95">
              <w:rPr>
                <w:color w:val="262626" w:themeColor="text1" w:themeTint="D9"/>
              </w:rPr>
              <w:t>.</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GDA94</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Geocentric Datum of Australia 1994. Realised by the derived coordinates of the Australian Fiducial Network (AFN) geodetic stations, referenced to the GRS80 ellipsoid and determined with respect to ITRF92 at epoch 1994.0.</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Geoid</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The equipotential surface of the Earth's gravity field which best fits global mean sea level.</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GNSS</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 Global Navigation Satellite System(s) – a generic term for satellite based positioning systems.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GRS80</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Geodetic Reference System 1980 reference ellipsoid, where </w:t>
            </w:r>
            <w:r w:rsidRPr="009E6A95">
              <w:rPr>
                <w:color w:val="262626" w:themeColor="text1" w:themeTint="D9"/>
              </w:rPr>
              <w:br/>
              <w:t>a = 6378137 m, f = 1 / 298.257222101</w:t>
            </w:r>
          </w:p>
        </w:tc>
      </w:tr>
      <w:tr w:rsidR="00204511" w:rsidRPr="009E6A95" w:rsidTr="00AF710B">
        <w:tc>
          <w:tcPr>
            <w:tcW w:w="2586" w:type="dxa"/>
          </w:tcPr>
          <w:p w:rsidR="00204511" w:rsidRPr="009E6A95" w:rsidRDefault="00204511" w:rsidP="00E4014E">
            <w:pPr>
              <w:pStyle w:val="Tabletexttermsanddefs"/>
              <w:rPr>
                <w:color w:val="262626" w:themeColor="text1" w:themeTint="D9"/>
              </w:rPr>
            </w:pPr>
            <w:r>
              <w:rPr>
                <w:color w:val="262626" w:themeColor="text1" w:themeTint="D9"/>
              </w:rPr>
              <w:t>GUM</w:t>
            </w:r>
          </w:p>
        </w:tc>
        <w:tc>
          <w:tcPr>
            <w:tcW w:w="6027" w:type="dxa"/>
          </w:tcPr>
          <w:p w:rsidR="00204511" w:rsidRPr="009E6A95" w:rsidRDefault="00204511" w:rsidP="007D7C73">
            <w:pPr>
              <w:pStyle w:val="Tabletexttermsanddefs"/>
              <w:jc w:val="both"/>
              <w:rPr>
                <w:color w:val="262626" w:themeColor="text1" w:themeTint="D9"/>
              </w:rPr>
            </w:pPr>
            <w:r>
              <w:rPr>
                <w:color w:val="262626" w:themeColor="text1" w:themeTint="D9"/>
              </w:rPr>
              <w:t xml:space="preserve">The ISO </w:t>
            </w:r>
            <w:r w:rsidR="007C29F3">
              <w:rPr>
                <w:color w:val="262626" w:themeColor="text1" w:themeTint="D9"/>
              </w:rPr>
              <w:t>‘</w:t>
            </w:r>
            <w:r w:rsidRPr="002D393B">
              <w:rPr>
                <w:i/>
                <w:color w:val="262626" w:themeColor="text1" w:themeTint="D9"/>
              </w:rPr>
              <w:t>Guide to the expression of uncertainty in measurement</w:t>
            </w:r>
            <w:r w:rsidR="007C29F3">
              <w:rPr>
                <w:color w:val="262626" w:themeColor="text1" w:themeTint="D9"/>
              </w:rPr>
              <w:t>’</w:t>
            </w:r>
            <w:r>
              <w:rPr>
                <w:color w:val="262626" w:themeColor="text1" w:themeTint="D9"/>
              </w:rPr>
              <w:t xml:space="preserve"> (JCGM, </w:t>
            </w:r>
            <w:r w:rsidRPr="009E6A95">
              <w:rPr>
                <w:color w:val="262626" w:themeColor="text1" w:themeTint="D9"/>
              </w:rPr>
              <w:t>200</w:t>
            </w:r>
            <w:r>
              <w:rPr>
                <w:color w:val="262626" w:themeColor="text1" w:themeTint="D9"/>
              </w:rPr>
              <w:t>8).</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ICSM</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Intergovernmental Committee on Surveying and Mapping</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International System of Units (SI)</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The International System of Units (abbreviated SI from French: </w:t>
            </w:r>
            <w:proofErr w:type="spellStart"/>
            <w:r w:rsidRPr="009E6A95">
              <w:rPr>
                <w:color w:val="262626" w:themeColor="text1" w:themeTint="D9"/>
              </w:rPr>
              <w:t>Système</w:t>
            </w:r>
            <w:proofErr w:type="spellEnd"/>
            <w:r w:rsidRPr="009E6A95">
              <w:rPr>
                <w:color w:val="262626" w:themeColor="text1" w:themeTint="D9"/>
              </w:rPr>
              <w:t xml:space="preserve"> International </w:t>
            </w:r>
            <w:proofErr w:type="spellStart"/>
            <w:r w:rsidRPr="009E6A95">
              <w:rPr>
                <w:color w:val="262626" w:themeColor="text1" w:themeTint="D9"/>
              </w:rPr>
              <w:t>d'Unités</w:t>
            </w:r>
            <w:proofErr w:type="spellEnd"/>
            <w:r w:rsidRPr="009E6A95">
              <w:rPr>
                <w:color w:val="262626" w:themeColor="text1" w:themeTint="D9"/>
              </w:rPr>
              <w:t>) is the modern form of the metric system.</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ISO</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International Organization for Standardization – a developer of voluntary International Standards.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ITRF</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International Terrestrial Reference Frame - a realisation of the International Terrestrial Reference System (ITRS) produced by the International Earth Rotation and Reference Systems Service (IERS).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JCGM</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Joint Committee for Guides in Metrology – a committee chaired by the Director of the Bureau International des </w:t>
            </w:r>
            <w:proofErr w:type="spellStart"/>
            <w:r w:rsidRPr="009E6A95">
              <w:rPr>
                <w:color w:val="262626" w:themeColor="text1" w:themeTint="D9"/>
              </w:rPr>
              <w:t>Poids</w:t>
            </w:r>
            <w:proofErr w:type="spellEnd"/>
            <w:r w:rsidRPr="009E6A95">
              <w:rPr>
                <w:color w:val="262626" w:themeColor="text1" w:themeTint="D9"/>
              </w:rPr>
              <w:t xml:space="preserve"> et </w:t>
            </w:r>
            <w:proofErr w:type="spellStart"/>
            <w:r w:rsidRPr="009E6A95">
              <w:rPr>
                <w:color w:val="262626" w:themeColor="text1" w:themeTint="D9"/>
              </w:rPr>
              <w:t>Mesures</w:t>
            </w:r>
            <w:proofErr w:type="spellEnd"/>
            <w:r w:rsidRPr="009E6A95">
              <w:rPr>
                <w:color w:val="262626" w:themeColor="text1" w:themeTint="D9"/>
              </w:rPr>
              <w:t xml:space="preserve"> (BIPM) and created by the seven international organisations that had originally in 1993 prepared the </w:t>
            </w:r>
            <w:r w:rsidRPr="009E6A95">
              <w:rPr>
                <w:i/>
                <w:color w:val="262626" w:themeColor="text1" w:themeTint="D9"/>
              </w:rPr>
              <w:t>Guide to the expression of uncertainty in measurement</w:t>
            </w:r>
            <w:r w:rsidRPr="009E6A95">
              <w:rPr>
                <w:color w:val="262626" w:themeColor="text1" w:themeTint="D9"/>
              </w:rPr>
              <w:t xml:space="preserve"> (GUM) and the </w:t>
            </w:r>
            <w:r w:rsidRPr="009E6A95">
              <w:rPr>
                <w:i/>
                <w:color w:val="262626" w:themeColor="text1" w:themeTint="D9"/>
              </w:rPr>
              <w:t>International vocabulary of basic and general terms in metrology</w:t>
            </w:r>
            <w:r w:rsidRPr="009E6A95">
              <w:rPr>
                <w:color w:val="262626" w:themeColor="text1" w:themeTint="D9"/>
              </w:rPr>
              <w:t xml:space="preserve"> (VIM).</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Measurement</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 measurement is an observed value, the outcome of a repeated set of observations, or the result of processing such observations.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MGA94</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Map Grid of Australia 1994. Universal Transverse Mercator projection of the Geocentric Datum of Australia 1994.</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MSL</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Mean Sea Level – A tidal datum derived from the arithmetic mean of hourly heights of the sea at the tidal station observed over a period of time (preferably 19 years).</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NGRS</w:t>
            </w:r>
          </w:p>
        </w:tc>
        <w:tc>
          <w:tcPr>
            <w:tcW w:w="6027" w:type="dxa"/>
          </w:tcPr>
          <w:p w:rsidR="00A63921" w:rsidRPr="009E6A95" w:rsidRDefault="00A63921" w:rsidP="00754E02">
            <w:pPr>
              <w:pStyle w:val="Tabletexttermsanddefs"/>
              <w:jc w:val="both"/>
              <w:rPr>
                <w:color w:val="262626" w:themeColor="text1" w:themeTint="D9"/>
              </w:rPr>
            </w:pPr>
            <w:r w:rsidRPr="009E6A95">
              <w:rPr>
                <w:color w:val="262626" w:themeColor="text1" w:themeTint="D9"/>
              </w:rPr>
              <w:t>National Geospatial Reference System – is Australia’s authoritative, reliable, high accuracy spatial referencing system</w:t>
            </w:r>
            <w:bookmarkStart w:id="10" w:name="_GoBack"/>
            <w:bookmarkEnd w:id="10"/>
            <w:r w:rsidRPr="009E6A95">
              <w:rPr>
                <w:color w:val="262626" w:themeColor="text1" w:themeTint="D9"/>
              </w:rPr>
              <w:t xml:space="preserve">.  It includes the GDA94, AHD71 and AHD-TAS83 datums.  </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PCG</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ICSM Permanent Committee on Geodesy</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Precision</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 term used to quantify the variability of a measurement or computed value. If several measurements are taken repeatedly to represent the same quantity, precision is used to refer to the degree of closeness or conformity of those measurements to each other.</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Quasi-geoid</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A reference surface based on the Earth’s gravitational potential. The geoid and quasi-geoid are approximately the same surface over the oceans but diverge over land due to the influence of topography.</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Survey control mark</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 xml:space="preserve">A monument that provides a physical realisation of one or more datums. </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The Standard</w:t>
            </w:r>
          </w:p>
        </w:tc>
        <w:tc>
          <w:tcPr>
            <w:tcW w:w="6027" w:type="dxa"/>
          </w:tcPr>
          <w:p w:rsidR="00A63921" w:rsidRPr="009E6A95" w:rsidRDefault="00746926" w:rsidP="00922B10">
            <w:pPr>
              <w:pStyle w:val="Tabletexttermsanddefs"/>
              <w:jc w:val="both"/>
              <w:rPr>
                <w:color w:val="262626" w:themeColor="text1" w:themeTint="D9"/>
              </w:rPr>
            </w:pPr>
            <w:r>
              <w:rPr>
                <w:color w:val="262626" w:themeColor="text1" w:themeTint="D9"/>
              </w:rPr>
              <w:t xml:space="preserve">This document, known as the </w:t>
            </w:r>
            <w:r w:rsidR="00A63921" w:rsidRPr="009E6A95">
              <w:rPr>
                <w:color w:val="262626" w:themeColor="text1" w:themeTint="D9"/>
              </w:rPr>
              <w:t>Standard for the Australian Survey Control Network – Special Publication 1 (SP1)</w:t>
            </w:r>
            <w:r w:rsidR="00394A0D">
              <w:rPr>
                <w:color w:val="262626" w:themeColor="text1" w:themeTint="D9"/>
              </w:rPr>
              <w:t>.</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Uncertainty</w:t>
            </w:r>
          </w:p>
        </w:tc>
        <w:tc>
          <w:tcPr>
            <w:tcW w:w="6027" w:type="dxa"/>
          </w:tcPr>
          <w:p w:rsidR="00A63921" w:rsidRPr="009E6A95" w:rsidRDefault="00D069E1" w:rsidP="00203FB0">
            <w:pPr>
              <w:pStyle w:val="Tabletexttermsanddefs"/>
              <w:jc w:val="both"/>
              <w:rPr>
                <w:color w:val="262626" w:themeColor="text1" w:themeTint="D9"/>
              </w:rPr>
            </w:pPr>
            <w:r>
              <w:rPr>
                <w:color w:val="262626" w:themeColor="text1" w:themeTint="D9"/>
              </w:rPr>
              <w:t xml:space="preserve">In accordance with the </w:t>
            </w:r>
            <w:r w:rsidR="00204511">
              <w:rPr>
                <w:color w:val="262626" w:themeColor="text1" w:themeTint="D9"/>
              </w:rPr>
              <w:t>GUM</w:t>
            </w:r>
            <w:r w:rsidR="00D06663">
              <w:rPr>
                <w:color w:val="262626" w:themeColor="text1" w:themeTint="D9"/>
              </w:rPr>
              <w:t xml:space="preserve"> </w:t>
            </w:r>
            <w:r>
              <w:rPr>
                <w:color w:val="262626" w:themeColor="text1" w:themeTint="D9"/>
              </w:rPr>
              <w:t>meaning</w:t>
            </w:r>
            <w:r w:rsidR="00C90E8B">
              <w:rPr>
                <w:color w:val="262626" w:themeColor="text1" w:themeTint="D9"/>
              </w:rPr>
              <w:t xml:space="preserve">, uncertainty </w:t>
            </w:r>
            <w:r w:rsidR="00870366">
              <w:rPr>
                <w:color w:val="262626" w:themeColor="text1" w:themeTint="D9"/>
              </w:rPr>
              <w:t xml:space="preserve">in this Standard </w:t>
            </w:r>
            <w:r w:rsidR="00C90E8B">
              <w:rPr>
                <w:color w:val="262626" w:themeColor="text1" w:themeTint="D9"/>
              </w:rPr>
              <w:t xml:space="preserve">means doubt about the validity of a measurement or </w:t>
            </w:r>
            <w:r w:rsidR="00D06663">
              <w:rPr>
                <w:color w:val="262626" w:themeColor="text1" w:themeTint="D9"/>
              </w:rPr>
              <w:t>result of a measurement (</w:t>
            </w:r>
            <w:r w:rsidR="00656259">
              <w:rPr>
                <w:color w:val="262626" w:themeColor="text1" w:themeTint="D9"/>
              </w:rPr>
              <w:t>e.g</w:t>
            </w:r>
            <w:r w:rsidR="00870366">
              <w:rPr>
                <w:color w:val="262626" w:themeColor="text1" w:themeTint="D9"/>
              </w:rPr>
              <w:t xml:space="preserve">. a </w:t>
            </w:r>
            <w:r>
              <w:rPr>
                <w:color w:val="262626" w:themeColor="text1" w:themeTint="D9"/>
              </w:rPr>
              <w:t>coordinate</w:t>
            </w:r>
            <w:r w:rsidR="00D06663">
              <w:rPr>
                <w:color w:val="262626" w:themeColor="text1" w:themeTint="D9"/>
              </w:rPr>
              <w:t>)</w:t>
            </w:r>
            <w:r w:rsidR="00C90E8B">
              <w:rPr>
                <w:color w:val="262626" w:themeColor="text1" w:themeTint="D9"/>
              </w:rPr>
              <w:t>.</w:t>
            </w:r>
            <w:r w:rsidR="00C90E8B" w:rsidRPr="009E6A95" w:rsidDel="00C90E8B">
              <w:rPr>
                <w:color w:val="262626" w:themeColor="text1" w:themeTint="D9"/>
              </w:rPr>
              <w:t xml:space="preserve"> </w:t>
            </w:r>
            <w:r w:rsidR="00724D4E">
              <w:rPr>
                <w:color w:val="262626" w:themeColor="text1" w:themeTint="D9"/>
              </w:rPr>
              <w:t>It is an</w:t>
            </w:r>
            <w:r w:rsidR="00A63921" w:rsidRPr="009E6A95">
              <w:rPr>
                <w:color w:val="262626" w:themeColor="text1" w:themeTint="D9"/>
              </w:rPr>
              <w:t xml:space="preserve"> </w:t>
            </w:r>
            <w:r w:rsidR="00724D4E">
              <w:rPr>
                <w:color w:val="262626" w:themeColor="text1" w:themeTint="D9"/>
              </w:rPr>
              <w:t>indication of how wrong</w:t>
            </w:r>
            <w:r>
              <w:rPr>
                <w:color w:val="262626" w:themeColor="text1" w:themeTint="D9"/>
              </w:rPr>
              <w:t xml:space="preserve"> </w:t>
            </w:r>
            <w:r w:rsidR="00724D4E">
              <w:rPr>
                <w:color w:val="262626" w:themeColor="text1" w:themeTint="D9"/>
              </w:rPr>
              <w:t xml:space="preserve">a </w:t>
            </w:r>
            <w:r w:rsidR="00D06663">
              <w:rPr>
                <w:color w:val="262626" w:themeColor="text1" w:themeTint="D9"/>
              </w:rPr>
              <w:t>value</w:t>
            </w:r>
            <w:r w:rsidR="00724D4E">
              <w:rPr>
                <w:color w:val="262626" w:themeColor="text1" w:themeTint="D9"/>
              </w:rPr>
              <w:t xml:space="preserve"> may be</w:t>
            </w:r>
            <w:r w:rsidR="00A63921" w:rsidRPr="009E6A95">
              <w:rPr>
                <w:color w:val="262626" w:themeColor="text1" w:themeTint="D9"/>
              </w:rPr>
              <w:t xml:space="preserve"> and is used in this Standard to quantify the level of survey </w:t>
            </w:r>
            <w:r w:rsidR="00724D4E">
              <w:rPr>
                <w:color w:val="262626" w:themeColor="text1" w:themeTint="D9"/>
              </w:rPr>
              <w:t>quality</w:t>
            </w:r>
            <w:r w:rsidR="00A63921" w:rsidRPr="009E6A95">
              <w:rPr>
                <w:color w:val="262626" w:themeColor="text1" w:themeTint="D9"/>
              </w:rPr>
              <w:t>. Uncertainty is expressed</w:t>
            </w:r>
            <w:r w:rsidR="00724D4E">
              <w:rPr>
                <w:color w:val="262626" w:themeColor="text1" w:themeTint="D9"/>
              </w:rPr>
              <w:t xml:space="preserve"> as a standard deviation</w:t>
            </w:r>
            <w:r w:rsidR="00A63921" w:rsidRPr="009E6A95">
              <w:rPr>
                <w:color w:val="262626" w:themeColor="text1" w:themeTint="D9"/>
              </w:rPr>
              <w:t xml:space="preserve"> in the International System of Units (SI) </w:t>
            </w:r>
            <w:r w:rsidR="00174550">
              <w:rPr>
                <w:color w:val="262626" w:themeColor="text1" w:themeTint="D9"/>
              </w:rPr>
              <w:t>expanded to</w:t>
            </w:r>
            <w:r w:rsidR="00A63921" w:rsidRPr="009E6A95">
              <w:rPr>
                <w:color w:val="262626" w:themeColor="text1" w:themeTint="D9"/>
              </w:rPr>
              <w:t xml:space="preserve"> the 95% confidence level.  </w:t>
            </w:r>
          </w:p>
        </w:tc>
      </w:tr>
      <w:tr w:rsidR="009E6A95" w:rsidRPr="009E6A95" w:rsidTr="00AF710B">
        <w:tc>
          <w:tcPr>
            <w:tcW w:w="2586" w:type="dxa"/>
          </w:tcPr>
          <w:p w:rsidR="00A63921" w:rsidRPr="009E6A95" w:rsidRDefault="00A63921" w:rsidP="0091615C">
            <w:pPr>
              <w:pStyle w:val="Tabletexttermsanddefs"/>
              <w:rPr>
                <w:color w:val="262626" w:themeColor="text1" w:themeTint="D9"/>
              </w:rPr>
            </w:pPr>
            <w:r w:rsidRPr="009E6A95">
              <w:rPr>
                <w:color w:val="262626" w:themeColor="text1" w:themeTint="D9"/>
              </w:rPr>
              <w:t>Uncertainty</w:t>
            </w:r>
            <w:r w:rsidR="0091615C">
              <w:rPr>
                <w:color w:val="262626" w:themeColor="text1" w:themeTint="D9"/>
              </w:rPr>
              <w:t>,</w:t>
            </w:r>
            <w:r w:rsidRPr="009E6A95">
              <w:rPr>
                <w:color w:val="262626" w:themeColor="text1" w:themeTint="D9"/>
              </w:rPr>
              <w:t xml:space="preserve"> Positional (PU)</w:t>
            </w:r>
            <w:r w:rsidRPr="009E6A95" w:rsidDel="00A75B8A">
              <w:rPr>
                <w:color w:val="262626" w:themeColor="text1" w:themeTint="D9"/>
              </w:rPr>
              <w:t xml:space="preserve"> </w:t>
            </w:r>
          </w:p>
        </w:tc>
        <w:tc>
          <w:tcPr>
            <w:tcW w:w="6027" w:type="dxa"/>
          </w:tcPr>
          <w:p w:rsidR="00A63921" w:rsidRPr="009E6A95" w:rsidRDefault="00A63921" w:rsidP="00AF710B">
            <w:pPr>
              <w:pStyle w:val="Tabletexttermsanddefs"/>
              <w:jc w:val="both"/>
              <w:rPr>
                <w:color w:val="262626" w:themeColor="text1" w:themeTint="D9"/>
                <w:lang w:val="x-none"/>
              </w:rPr>
            </w:pPr>
            <w:r w:rsidRPr="009E6A95">
              <w:rPr>
                <w:color w:val="262626" w:themeColor="text1" w:themeTint="D9"/>
              </w:rPr>
              <w:t xml:space="preserve">The uncertainty of the horizontal and/or vertical coordinates of a survey control mark with respect to datum. </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Uncertainty</w:t>
            </w:r>
            <w:r w:rsidR="0091615C">
              <w:rPr>
                <w:color w:val="262626" w:themeColor="text1" w:themeTint="D9"/>
              </w:rPr>
              <w:t>,</w:t>
            </w:r>
            <w:r w:rsidRPr="009E6A95">
              <w:rPr>
                <w:color w:val="262626" w:themeColor="text1" w:themeTint="D9"/>
              </w:rPr>
              <w:t xml:space="preserve"> Relative (RU)</w:t>
            </w:r>
          </w:p>
        </w:tc>
        <w:tc>
          <w:tcPr>
            <w:tcW w:w="6027" w:type="dxa"/>
          </w:tcPr>
          <w:p w:rsidR="00A63921" w:rsidRPr="009E6A95" w:rsidRDefault="00A63921" w:rsidP="00AF710B">
            <w:pPr>
              <w:rPr>
                <w:color w:val="262626" w:themeColor="text1" w:themeTint="D9"/>
              </w:rPr>
            </w:pPr>
            <w:r w:rsidRPr="009E6A95">
              <w:rPr>
                <w:color w:val="262626" w:themeColor="text1" w:themeTint="D9"/>
              </w:rPr>
              <w:t>The uncertainty between the horizontal and/or vertical coordinates of any two survey control marks. RU can be expressed in SI units at the 95% confidence level, or in a proportional form such as a ratio of uncertainty per unit length or survey misclosure.</w:t>
            </w:r>
          </w:p>
        </w:tc>
      </w:tr>
      <w:tr w:rsidR="009E6A95"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Uncertainty</w:t>
            </w:r>
            <w:r w:rsidR="0091615C">
              <w:rPr>
                <w:color w:val="262626" w:themeColor="text1" w:themeTint="D9"/>
              </w:rPr>
              <w:t>,</w:t>
            </w:r>
            <w:r w:rsidRPr="009E6A95">
              <w:rPr>
                <w:color w:val="262626" w:themeColor="text1" w:themeTint="D9"/>
              </w:rPr>
              <w:t xml:space="preserve"> Survey  (SU)</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The uncertainty of the horizontal and/or vertical coordinates of a survey control mark independent of datum. That is, the uncertainty of a coordinate relative to the survey in which it was observed, without the contribution of the uncertainty in the underlying datum</w:t>
            </w:r>
            <w:r w:rsidR="00580028">
              <w:rPr>
                <w:color w:val="262626" w:themeColor="text1" w:themeTint="D9"/>
              </w:rPr>
              <w:t xml:space="preserve"> realisation</w:t>
            </w:r>
            <w:r w:rsidRPr="009E6A95">
              <w:rPr>
                <w:color w:val="262626" w:themeColor="text1" w:themeTint="D9"/>
              </w:rPr>
              <w:t xml:space="preserve">. </w:t>
            </w:r>
          </w:p>
        </w:tc>
      </w:tr>
      <w:tr w:rsidR="00A63921" w:rsidRPr="009E6A95" w:rsidTr="00AF710B">
        <w:tc>
          <w:tcPr>
            <w:tcW w:w="2586" w:type="dxa"/>
          </w:tcPr>
          <w:p w:rsidR="00A63921" w:rsidRPr="009E6A95" w:rsidRDefault="00A63921" w:rsidP="00E4014E">
            <w:pPr>
              <w:pStyle w:val="Tabletexttermsanddefs"/>
              <w:rPr>
                <w:color w:val="262626" w:themeColor="text1" w:themeTint="D9"/>
              </w:rPr>
            </w:pPr>
            <w:r w:rsidRPr="009E6A95">
              <w:rPr>
                <w:color w:val="262626" w:themeColor="text1" w:themeTint="D9"/>
              </w:rPr>
              <w:t>UTM</w:t>
            </w:r>
          </w:p>
        </w:tc>
        <w:tc>
          <w:tcPr>
            <w:tcW w:w="6027" w:type="dxa"/>
          </w:tcPr>
          <w:p w:rsidR="00A63921" w:rsidRPr="009E6A95" w:rsidRDefault="00A63921" w:rsidP="00AF710B">
            <w:pPr>
              <w:pStyle w:val="Tabletexttermsanddefs"/>
              <w:jc w:val="both"/>
              <w:rPr>
                <w:color w:val="262626" w:themeColor="text1" w:themeTint="D9"/>
              </w:rPr>
            </w:pPr>
            <w:r w:rsidRPr="009E6A95">
              <w:rPr>
                <w:color w:val="262626" w:themeColor="text1" w:themeTint="D9"/>
              </w:rPr>
              <w:t>Universal Transverse Mercator projection.</w:t>
            </w:r>
          </w:p>
        </w:tc>
      </w:tr>
    </w:tbl>
    <w:p w:rsidR="000975D0" w:rsidRPr="009E6A95" w:rsidRDefault="000975D0" w:rsidP="00352EE4">
      <w:pPr>
        <w:rPr>
          <w:color w:val="262626" w:themeColor="text1" w:themeTint="D9"/>
        </w:rPr>
        <w:sectPr w:rsidR="000975D0" w:rsidRPr="009E6A95" w:rsidSect="00046EB6">
          <w:headerReference w:type="default" r:id="rId12"/>
          <w:footerReference w:type="even" r:id="rId13"/>
          <w:footerReference w:type="default" r:id="rId14"/>
          <w:headerReference w:type="first" r:id="rId15"/>
          <w:pgSz w:w="11906" w:h="16838"/>
          <w:pgMar w:top="1276" w:right="1559" w:bottom="1440" w:left="1797" w:header="709" w:footer="709" w:gutter="0"/>
          <w:pgNumType w:fmt="lowerRoman" w:start="1"/>
          <w:cols w:space="708"/>
          <w:titlePg/>
          <w:docGrid w:linePitch="360"/>
        </w:sectPr>
      </w:pPr>
    </w:p>
    <w:p w:rsidR="00915AB6" w:rsidRPr="00BA4555" w:rsidRDefault="00874C4E" w:rsidP="00255A37">
      <w:pPr>
        <w:pStyle w:val="Heading1"/>
        <w:rPr>
          <w:color w:val="4F6228" w:themeColor="accent3" w:themeShade="80"/>
        </w:rPr>
      </w:pPr>
      <w:bookmarkStart w:id="11" w:name="_Ref320619779"/>
      <w:bookmarkStart w:id="12" w:name="_Toc399489501"/>
      <w:r w:rsidRPr="00BA4555">
        <w:rPr>
          <w:color w:val="4F6228" w:themeColor="accent3" w:themeShade="80"/>
        </w:rPr>
        <w:t>About this Standard</w:t>
      </w:r>
      <w:bookmarkEnd w:id="11"/>
      <w:bookmarkEnd w:id="12"/>
    </w:p>
    <w:p w:rsidR="002F58CD" w:rsidRPr="00BA4555" w:rsidRDefault="002F58CD" w:rsidP="002F58CD">
      <w:pPr>
        <w:pStyle w:val="Heading2"/>
        <w:rPr>
          <w:color w:val="4F6228" w:themeColor="accent3" w:themeShade="80"/>
        </w:rPr>
      </w:pPr>
      <w:bookmarkStart w:id="13" w:name="_Toc399489502"/>
      <w:r w:rsidRPr="00BA4555">
        <w:rPr>
          <w:color w:val="4F6228" w:themeColor="accent3" w:themeShade="80"/>
        </w:rPr>
        <w:t>Preface</w:t>
      </w:r>
      <w:bookmarkEnd w:id="13"/>
    </w:p>
    <w:p w:rsidR="002F58CD" w:rsidRPr="009E6A95" w:rsidRDefault="002F58CD" w:rsidP="002F58CD">
      <w:pPr>
        <w:rPr>
          <w:color w:val="262626" w:themeColor="text1" w:themeTint="D9"/>
        </w:rPr>
      </w:pPr>
      <w:r w:rsidRPr="009E6A95">
        <w:rPr>
          <w:color w:val="262626" w:themeColor="text1" w:themeTint="D9"/>
        </w:rPr>
        <w:t>This version of the Standard completes the transition from CLASS and ORDER to uncertainty as the basis for evaluating and expressing the quality of measurements and positions</w:t>
      </w:r>
      <w:r w:rsidR="00EA1158" w:rsidRPr="009E6A95">
        <w:rPr>
          <w:color w:val="262626" w:themeColor="text1" w:themeTint="D9"/>
        </w:rPr>
        <w:t>.</w:t>
      </w:r>
      <w:r w:rsidR="00E07B31" w:rsidRPr="009E6A95">
        <w:rPr>
          <w:color w:val="262626" w:themeColor="text1" w:themeTint="D9"/>
        </w:rPr>
        <w:t xml:space="preserve"> This Standard</w:t>
      </w:r>
      <w:r w:rsidR="00066128" w:rsidRPr="009E6A95">
        <w:rPr>
          <w:color w:val="262626" w:themeColor="text1" w:themeTint="D9"/>
        </w:rPr>
        <w:t>’s</w:t>
      </w:r>
      <w:r w:rsidR="00E07B31" w:rsidRPr="009E6A95">
        <w:rPr>
          <w:color w:val="262626" w:themeColor="text1" w:themeTint="D9"/>
        </w:rPr>
        <w:t xml:space="preserve"> definition of uncertainty is intended to </w:t>
      </w:r>
      <w:r w:rsidR="00066128" w:rsidRPr="009E6A95">
        <w:rPr>
          <w:color w:val="262626" w:themeColor="text1" w:themeTint="D9"/>
        </w:rPr>
        <w:t xml:space="preserve">be </w:t>
      </w:r>
      <w:r w:rsidR="00E07B31" w:rsidRPr="009E6A95">
        <w:rPr>
          <w:color w:val="262626" w:themeColor="text1" w:themeTint="D9"/>
        </w:rPr>
        <w:t xml:space="preserve">consistent with </w:t>
      </w:r>
      <w:r w:rsidR="00066128" w:rsidRPr="009E6A95">
        <w:rPr>
          <w:color w:val="262626" w:themeColor="text1" w:themeTint="D9"/>
        </w:rPr>
        <w:t>the ISO definition</w:t>
      </w:r>
      <w:r w:rsidR="00E07B31" w:rsidRPr="009E6A95">
        <w:rPr>
          <w:color w:val="262626" w:themeColor="text1" w:themeTint="D9"/>
        </w:rPr>
        <w:t>.</w:t>
      </w:r>
      <w:r w:rsidR="006F5481" w:rsidRPr="009E6A95">
        <w:rPr>
          <w:color w:val="262626" w:themeColor="text1" w:themeTint="D9"/>
        </w:rPr>
        <w:t xml:space="preserve"> The use of the term Local Uncertainty as defined in SP1 version 1.7 has been discontinued in this Standard.</w:t>
      </w:r>
      <w:r w:rsidRPr="009E6A95">
        <w:rPr>
          <w:color w:val="262626" w:themeColor="text1" w:themeTint="D9"/>
        </w:rPr>
        <w:t xml:space="preserve"> </w:t>
      </w:r>
    </w:p>
    <w:p w:rsidR="002F58CD" w:rsidRPr="009E6A95" w:rsidRDefault="002F58CD" w:rsidP="002F58CD">
      <w:pPr>
        <w:rPr>
          <w:color w:val="262626" w:themeColor="text1" w:themeTint="D9"/>
        </w:rPr>
      </w:pPr>
      <w:r w:rsidRPr="009E6A95">
        <w:rPr>
          <w:color w:val="262626" w:themeColor="text1" w:themeTint="D9"/>
        </w:rPr>
        <w:t>This document supersedes:</w:t>
      </w:r>
    </w:p>
    <w:p w:rsidR="002F58CD" w:rsidRPr="009E6A95" w:rsidRDefault="002F58CD" w:rsidP="002F58CD">
      <w:pPr>
        <w:pStyle w:val="Bibliographyreference"/>
        <w:rPr>
          <w:color w:val="262626" w:themeColor="text1" w:themeTint="D9"/>
        </w:rPr>
      </w:pPr>
      <w:r w:rsidRPr="009E6A95">
        <w:rPr>
          <w:color w:val="262626" w:themeColor="text1" w:themeTint="D9"/>
        </w:rPr>
        <w:t xml:space="preserve">ICSM (2007), </w:t>
      </w:r>
      <w:r w:rsidRPr="009E6A95">
        <w:rPr>
          <w:i/>
          <w:color w:val="262626" w:themeColor="text1" w:themeTint="D9"/>
        </w:rPr>
        <w:t>Standards and Practices for Control Surveys – Special Publication 1</w:t>
      </w:r>
      <w:r w:rsidRPr="009E6A95">
        <w:rPr>
          <w:color w:val="262626" w:themeColor="text1" w:themeTint="D9"/>
        </w:rPr>
        <w:t xml:space="preserve"> (version 1.7), Intergovernmental Committee on Surveying and Mapping, Canberra, Australia</w:t>
      </w:r>
    </w:p>
    <w:p w:rsidR="000975D0" w:rsidRPr="00BA4555" w:rsidRDefault="00915AB6" w:rsidP="000A26FB">
      <w:pPr>
        <w:pStyle w:val="Heading2"/>
        <w:rPr>
          <w:color w:val="4F6228" w:themeColor="accent3" w:themeShade="80"/>
        </w:rPr>
      </w:pPr>
      <w:bookmarkStart w:id="14" w:name="_Toc399489503"/>
      <w:r w:rsidRPr="00BA4555">
        <w:rPr>
          <w:color w:val="4F6228" w:themeColor="accent3" w:themeShade="80"/>
        </w:rPr>
        <w:t>Introduction</w:t>
      </w:r>
      <w:bookmarkEnd w:id="14"/>
    </w:p>
    <w:p w:rsidR="000975D0" w:rsidRPr="009E6A95" w:rsidRDefault="000975D0" w:rsidP="000975D0">
      <w:pPr>
        <w:rPr>
          <w:color w:val="262626" w:themeColor="text1" w:themeTint="D9"/>
        </w:rPr>
      </w:pPr>
      <w:r w:rsidRPr="009E6A95">
        <w:rPr>
          <w:color w:val="262626" w:themeColor="text1" w:themeTint="D9"/>
        </w:rPr>
        <w:t xml:space="preserve">The development of </w:t>
      </w:r>
      <w:r w:rsidR="00020FC2" w:rsidRPr="009E6A95">
        <w:rPr>
          <w:color w:val="262626" w:themeColor="text1" w:themeTint="D9"/>
        </w:rPr>
        <w:t>Australia</w:t>
      </w:r>
      <w:r w:rsidR="00020FC2">
        <w:rPr>
          <w:color w:val="262626" w:themeColor="text1" w:themeTint="D9"/>
        </w:rPr>
        <w:t xml:space="preserve"> </w:t>
      </w:r>
      <w:r w:rsidR="00020FC2" w:rsidRPr="009E6A95">
        <w:rPr>
          <w:color w:val="262626" w:themeColor="text1" w:themeTint="D9"/>
        </w:rPr>
        <w:t>depends</w:t>
      </w:r>
      <w:r w:rsidRPr="009E6A95">
        <w:rPr>
          <w:color w:val="262626" w:themeColor="text1" w:themeTint="D9"/>
        </w:rPr>
        <w:t xml:space="preserve"> upon the availability of a reliable, high accuracy spatial referencing system. The authoritative referencing system in Australia is the National Geospatial Reference System (NGRS).</w:t>
      </w:r>
    </w:p>
    <w:p w:rsidR="000975D0" w:rsidRPr="009E6A95" w:rsidRDefault="00E658CC" w:rsidP="000975D0">
      <w:pPr>
        <w:rPr>
          <w:color w:val="262626" w:themeColor="text1" w:themeTint="D9"/>
        </w:rPr>
      </w:pPr>
      <w:r w:rsidRPr="009E6A95">
        <w:rPr>
          <w:color w:val="262626" w:themeColor="text1" w:themeTint="D9"/>
        </w:rPr>
        <w:t xml:space="preserve">The </w:t>
      </w:r>
      <w:r w:rsidR="000975D0" w:rsidRPr="009E6A95">
        <w:rPr>
          <w:color w:val="262626" w:themeColor="text1" w:themeTint="D9"/>
        </w:rPr>
        <w:t xml:space="preserve">NGRS </w:t>
      </w:r>
      <w:r w:rsidR="00A27491" w:rsidRPr="009E6A95">
        <w:rPr>
          <w:color w:val="262626" w:themeColor="text1" w:themeTint="D9"/>
        </w:rPr>
        <w:t>underpins</w:t>
      </w:r>
      <w:r w:rsidR="000975D0" w:rsidRPr="009E6A95">
        <w:rPr>
          <w:color w:val="262626" w:themeColor="text1" w:themeTint="D9"/>
        </w:rPr>
        <w:t xml:space="preserve"> Australia’s fundamental positioning infrastructure. It is connected to the global reference frame, </w:t>
      </w:r>
      <w:r w:rsidR="00A27491" w:rsidRPr="009E6A95">
        <w:rPr>
          <w:color w:val="262626" w:themeColor="text1" w:themeTint="D9"/>
        </w:rPr>
        <w:t xml:space="preserve">enables </w:t>
      </w:r>
      <w:r w:rsidR="000975D0" w:rsidRPr="009E6A95">
        <w:rPr>
          <w:color w:val="262626" w:themeColor="text1" w:themeTint="D9"/>
        </w:rPr>
        <w:t>the integration of all spatial information, and underpins a vast array of public, government and commercial positioning and navigation applications.</w:t>
      </w:r>
    </w:p>
    <w:p w:rsidR="000975D0" w:rsidRPr="009E6A95" w:rsidRDefault="00E658CC" w:rsidP="000975D0">
      <w:pPr>
        <w:rPr>
          <w:color w:val="262626" w:themeColor="text1" w:themeTint="D9"/>
        </w:rPr>
      </w:pPr>
      <w:r w:rsidRPr="009E6A95">
        <w:rPr>
          <w:color w:val="262626" w:themeColor="text1" w:themeTint="D9"/>
        </w:rPr>
        <w:t xml:space="preserve">Australia’s </w:t>
      </w:r>
      <w:r w:rsidR="000975D0" w:rsidRPr="009E6A95">
        <w:rPr>
          <w:color w:val="262626" w:themeColor="text1" w:themeTint="D9"/>
        </w:rPr>
        <w:t xml:space="preserve">NGRS </w:t>
      </w:r>
      <w:r w:rsidR="00F46AF0" w:rsidRPr="009E6A95">
        <w:rPr>
          <w:color w:val="262626" w:themeColor="text1" w:themeTint="D9"/>
        </w:rPr>
        <w:t xml:space="preserve">is </w:t>
      </w:r>
      <w:r w:rsidRPr="009E6A95">
        <w:rPr>
          <w:color w:val="262626" w:themeColor="text1" w:themeTint="D9"/>
        </w:rPr>
        <w:t xml:space="preserve">realised through an </w:t>
      </w:r>
      <w:r w:rsidR="000975D0" w:rsidRPr="009E6A95">
        <w:rPr>
          <w:color w:val="262626" w:themeColor="text1" w:themeTint="D9"/>
        </w:rPr>
        <w:t>integrated network of Continuously Operating Reference Stations (CORS) and survey control marks, information about those survey control marks, systems for the management and delivery of survey control mark information, and various policies, standards and guidelines.</w:t>
      </w:r>
    </w:p>
    <w:p w:rsidR="000975D0" w:rsidRPr="009E6A95" w:rsidRDefault="000975D0" w:rsidP="000975D0">
      <w:pPr>
        <w:rPr>
          <w:color w:val="262626" w:themeColor="text1" w:themeTint="D9"/>
        </w:rPr>
      </w:pPr>
      <w:r w:rsidRPr="009E6A95">
        <w:rPr>
          <w:color w:val="262626" w:themeColor="text1" w:themeTint="D9"/>
        </w:rPr>
        <w:t xml:space="preserve">Australia’s survey control </w:t>
      </w:r>
      <w:r w:rsidR="00AF2724" w:rsidRPr="009E6A95">
        <w:rPr>
          <w:color w:val="262626" w:themeColor="text1" w:themeTint="D9"/>
        </w:rPr>
        <w:t xml:space="preserve">mark </w:t>
      </w:r>
      <w:r w:rsidRPr="009E6A95">
        <w:rPr>
          <w:color w:val="262626" w:themeColor="text1" w:themeTint="D9"/>
        </w:rPr>
        <w:t>network comprises the survey control marks within the Australian mainland and Tasmania, Australia</w:t>
      </w:r>
      <w:r w:rsidR="00186D9C" w:rsidRPr="009E6A95">
        <w:rPr>
          <w:color w:val="262626" w:themeColor="text1" w:themeTint="D9"/>
        </w:rPr>
        <w:t xml:space="preserve">'s islands and </w:t>
      </w:r>
      <w:r w:rsidRPr="009E6A95">
        <w:rPr>
          <w:color w:val="262626" w:themeColor="text1" w:themeTint="D9"/>
        </w:rPr>
        <w:t>External Territories. The External Territories include the Ashmore and Cartier Islands, Christmas Island, Cocos (Keeling) Islands, the Coral Sea Islands, Heard and McDonald Islands, Norfolk Island and the Australian Antarctic Territory.</w:t>
      </w:r>
    </w:p>
    <w:p w:rsidR="000975D0" w:rsidRPr="009E6A95" w:rsidRDefault="000975D0" w:rsidP="000975D0">
      <w:pPr>
        <w:rPr>
          <w:color w:val="262626" w:themeColor="text1" w:themeTint="D9"/>
        </w:rPr>
      </w:pPr>
      <w:r w:rsidRPr="009E6A95">
        <w:rPr>
          <w:color w:val="262626" w:themeColor="text1" w:themeTint="D9"/>
        </w:rPr>
        <w:t xml:space="preserve">The Intergovernmental Committee on Surveying and Mapping (ICSM) through its </w:t>
      </w:r>
      <w:r w:rsidR="00186D9C" w:rsidRPr="009E6A95">
        <w:rPr>
          <w:color w:val="262626" w:themeColor="text1" w:themeTint="D9"/>
        </w:rPr>
        <w:t xml:space="preserve">Permanent Committee on </w:t>
      </w:r>
      <w:r w:rsidRPr="009E6A95">
        <w:rPr>
          <w:color w:val="262626" w:themeColor="text1" w:themeTint="D9"/>
        </w:rPr>
        <w:t xml:space="preserve">Geodesy </w:t>
      </w:r>
      <w:r w:rsidR="00186D9C" w:rsidRPr="009E6A95">
        <w:rPr>
          <w:color w:val="262626" w:themeColor="text1" w:themeTint="D9"/>
        </w:rPr>
        <w:t>(PCG)</w:t>
      </w:r>
      <w:r w:rsidRPr="009E6A95">
        <w:rPr>
          <w:color w:val="262626" w:themeColor="text1" w:themeTint="D9"/>
        </w:rPr>
        <w:t xml:space="preserve"> administers national geodesy policies for the coordination of geodetic activities within Australia. This Standard</w:t>
      </w:r>
      <w:r w:rsidR="005545C7" w:rsidRPr="009E6A95">
        <w:rPr>
          <w:color w:val="262626" w:themeColor="text1" w:themeTint="D9"/>
        </w:rPr>
        <w:t xml:space="preserve"> and associated </w:t>
      </w:r>
      <w:r w:rsidR="001F7C7C">
        <w:rPr>
          <w:color w:val="262626" w:themeColor="text1" w:themeTint="D9"/>
        </w:rPr>
        <w:t>Guideline</w:t>
      </w:r>
      <w:r w:rsidR="005545C7" w:rsidRPr="009E6A95">
        <w:rPr>
          <w:color w:val="262626" w:themeColor="text1" w:themeTint="D9"/>
        </w:rPr>
        <w:t>s</w:t>
      </w:r>
      <w:r w:rsidRPr="009E6A95">
        <w:rPr>
          <w:color w:val="262626" w:themeColor="text1" w:themeTint="D9"/>
        </w:rPr>
        <w:t xml:space="preserve"> </w:t>
      </w:r>
      <w:r w:rsidR="003C7BD4" w:rsidRPr="009E6A95">
        <w:rPr>
          <w:color w:val="262626" w:themeColor="text1" w:themeTint="D9"/>
        </w:rPr>
        <w:t xml:space="preserve">provides an outcomes based framework </w:t>
      </w:r>
      <w:r w:rsidR="00D21DB2" w:rsidRPr="009E6A95">
        <w:rPr>
          <w:color w:val="262626" w:themeColor="text1" w:themeTint="D9"/>
        </w:rPr>
        <w:t xml:space="preserve">that supports </w:t>
      </w:r>
      <w:r w:rsidRPr="009E6A95">
        <w:rPr>
          <w:color w:val="262626" w:themeColor="text1" w:themeTint="D9"/>
        </w:rPr>
        <w:t>the highest level of rigour and integrity in the delivery and maintenance of Australia’s survey control mark network.</w:t>
      </w:r>
    </w:p>
    <w:p w:rsidR="007F11FA" w:rsidRPr="00BA4555" w:rsidRDefault="007F11FA" w:rsidP="007F11FA">
      <w:pPr>
        <w:pStyle w:val="Heading2"/>
        <w:rPr>
          <w:color w:val="4F6228" w:themeColor="accent3" w:themeShade="80"/>
        </w:rPr>
      </w:pPr>
      <w:bookmarkStart w:id="15" w:name="_Ref330824213"/>
      <w:bookmarkStart w:id="16" w:name="_Toc399489504"/>
      <w:r w:rsidRPr="00BA4555">
        <w:rPr>
          <w:color w:val="4F6228" w:themeColor="accent3" w:themeShade="80"/>
        </w:rPr>
        <w:t>Scope</w:t>
      </w:r>
      <w:bookmarkEnd w:id="15"/>
      <w:bookmarkEnd w:id="16"/>
    </w:p>
    <w:p w:rsidR="007F11FA" w:rsidRPr="009E6A95" w:rsidRDefault="007F11FA" w:rsidP="007F11FA">
      <w:pPr>
        <w:rPr>
          <w:color w:val="262626" w:themeColor="text1" w:themeTint="D9"/>
        </w:rPr>
      </w:pPr>
      <w:r w:rsidRPr="009E6A95">
        <w:rPr>
          <w:color w:val="262626" w:themeColor="text1" w:themeTint="D9"/>
        </w:rPr>
        <w:t>The purpose of this Standard is to specify the minimum requirements for the determination of one, two or three</w:t>
      </w:r>
      <w:r w:rsidR="00FB0F0B" w:rsidRPr="009E6A95">
        <w:rPr>
          <w:color w:val="262626" w:themeColor="text1" w:themeTint="D9"/>
        </w:rPr>
        <w:t xml:space="preserve"> </w:t>
      </w:r>
      <w:r w:rsidRPr="009E6A95">
        <w:rPr>
          <w:color w:val="262626" w:themeColor="text1" w:themeTint="D9"/>
        </w:rPr>
        <w:t>dimensional position and associated uncertainty of Australia’s survey control marks.</w:t>
      </w:r>
    </w:p>
    <w:p w:rsidR="007F11FA" w:rsidRPr="009E6A95" w:rsidRDefault="007F11FA" w:rsidP="007F11FA">
      <w:pPr>
        <w:rPr>
          <w:color w:val="262626" w:themeColor="text1" w:themeTint="D9"/>
        </w:rPr>
      </w:pPr>
      <w:r w:rsidRPr="009E6A95">
        <w:rPr>
          <w:color w:val="262626" w:themeColor="text1" w:themeTint="D9"/>
        </w:rPr>
        <w:t>This Standard prescribes ICSM’s requirements for control surveys that define, extend, improve or connect to the NGRS. The following control surveys are within the scope of this Standard:</w:t>
      </w:r>
    </w:p>
    <w:p w:rsidR="007F11FA" w:rsidRPr="009E6A95" w:rsidRDefault="007F11FA" w:rsidP="007F11FA">
      <w:pPr>
        <w:pStyle w:val="Itemisedlist1"/>
        <w:jc w:val="left"/>
        <w:rPr>
          <w:color w:val="262626" w:themeColor="text1" w:themeTint="D9"/>
        </w:rPr>
      </w:pPr>
      <w:r w:rsidRPr="009E6A95">
        <w:rPr>
          <w:b/>
          <w:color w:val="262626" w:themeColor="text1" w:themeTint="D9"/>
        </w:rPr>
        <w:t xml:space="preserve">Datum </w:t>
      </w:r>
      <w:r w:rsidR="00E747EC" w:rsidRPr="009E6A95">
        <w:rPr>
          <w:b/>
          <w:color w:val="262626" w:themeColor="text1" w:themeTint="D9"/>
        </w:rPr>
        <w:t xml:space="preserve">Control </w:t>
      </w:r>
      <w:r w:rsidRPr="009E6A95">
        <w:rPr>
          <w:b/>
          <w:color w:val="262626" w:themeColor="text1" w:themeTint="D9"/>
        </w:rPr>
        <w:t>Surveys</w:t>
      </w:r>
      <w:r w:rsidRPr="009E6A95">
        <w:rPr>
          <w:color w:val="262626" w:themeColor="text1" w:themeTint="D9"/>
        </w:rPr>
        <w:t xml:space="preserve"> </w:t>
      </w:r>
      <w:r w:rsidR="006D51E4" w:rsidRPr="009E6A95">
        <w:rPr>
          <w:color w:val="262626" w:themeColor="text1" w:themeTint="D9"/>
        </w:rPr>
        <w:t xml:space="preserve">These surveys </w:t>
      </w:r>
      <w:r w:rsidRPr="009E6A95">
        <w:rPr>
          <w:color w:val="262626" w:themeColor="text1" w:themeTint="D9"/>
        </w:rPr>
        <w:t xml:space="preserve">define, extend or improve the NGRS. These control surveys are included in </w:t>
      </w:r>
      <w:r w:rsidR="003B5BFF" w:rsidRPr="009E6A95">
        <w:rPr>
          <w:color w:val="262626" w:themeColor="text1" w:themeTint="D9"/>
        </w:rPr>
        <w:t xml:space="preserve">NGRS adjustments </w:t>
      </w:r>
      <w:r w:rsidRPr="009E6A95">
        <w:rPr>
          <w:color w:val="262626" w:themeColor="text1" w:themeTint="D9"/>
        </w:rPr>
        <w:t>(State, Territory and Australian Government) to allow for the most rigorous estimation and testing of position and uncertainty for new and existing survey control marks in the NGRS.</w:t>
      </w:r>
    </w:p>
    <w:p w:rsidR="007F11FA" w:rsidRPr="009E6A95" w:rsidRDefault="007F11FA" w:rsidP="007F11FA">
      <w:pPr>
        <w:pStyle w:val="Itemisedlist1"/>
        <w:jc w:val="left"/>
        <w:rPr>
          <w:color w:val="262626" w:themeColor="text1" w:themeTint="D9"/>
        </w:rPr>
      </w:pPr>
      <w:r w:rsidRPr="009E6A95">
        <w:rPr>
          <w:b/>
          <w:color w:val="262626" w:themeColor="text1" w:themeTint="D9"/>
        </w:rPr>
        <w:t>General Purpose Control Surveys</w:t>
      </w:r>
      <w:r w:rsidRPr="009E6A95">
        <w:rPr>
          <w:color w:val="262626" w:themeColor="text1" w:themeTint="D9"/>
        </w:rPr>
        <w:t xml:space="preserve"> </w:t>
      </w:r>
      <w:r w:rsidR="006D51E4" w:rsidRPr="009E6A95">
        <w:rPr>
          <w:color w:val="262626" w:themeColor="text1" w:themeTint="D9"/>
        </w:rPr>
        <w:t xml:space="preserve">These surveys </w:t>
      </w:r>
      <w:r w:rsidRPr="009E6A95">
        <w:rPr>
          <w:color w:val="262626" w:themeColor="text1" w:themeTint="D9"/>
        </w:rPr>
        <w:t xml:space="preserve">are not included in </w:t>
      </w:r>
      <w:r w:rsidR="00CE7505" w:rsidRPr="009E6A95">
        <w:rPr>
          <w:color w:val="262626" w:themeColor="text1" w:themeTint="D9"/>
        </w:rPr>
        <w:t xml:space="preserve">NGRS </w:t>
      </w:r>
      <w:r w:rsidRPr="009E6A95">
        <w:rPr>
          <w:color w:val="262626" w:themeColor="text1" w:themeTint="D9"/>
        </w:rPr>
        <w:t xml:space="preserve">adjustments, but connect to the NGRS for the purpose of estimating the position and uncertainty of new survey control marks relative to the NGRS. These control surveys may be grouped into two categories according to the method used to estimate </w:t>
      </w:r>
      <w:r w:rsidR="00B13F21" w:rsidRPr="009E6A95">
        <w:rPr>
          <w:color w:val="262626" w:themeColor="text1" w:themeTint="D9"/>
        </w:rPr>
        <w:t>position and uncertainty, being</w:t>
      </w:r>
      <w:r w:rsidRPr="009E6A95">
        <w:rPr>
          <w:color w:val="262626" w:themeColor="text1" w:themeTint="D9"/>
        </w:rPr>
        <w:t>:</w:t>
      </w:r>
    </w:p>
    <w:p w:rsidR="007F11FA" w:rsidRPr="009E6A95" w:rsidRDefault="00513C11" w:rsidP="007F11FA">
      <w:pPr>
        <w:pStyle w:val="Itemisedlist1"/>
        <w:numPr>
          <w:ilvl w:val="1"/>
          <w:numId w:val="8"/>
        </w:numPr>
        <w:jc w:val="left"/>
        <w:rPr>
          <w:color w:val="262626" w:themeColor="text1" w:themeTint="D9"/>
        </w:rPr>
      </w:pPr>
      <w:r w:rsidRPr="009E6A95">
        <w:rPr>
          <w:color w:val="262626" w:themeColor="text1" w:themeTint="D9"/>
        </w:rPr>
        <w:t>least squares</w:t>
      </w:r>
      <w:r w:rsidR="007770EB">
        <w:rPr>
          <w:color w:val="262626" w:themeColor="text1" w:themeTint="D9"/>
        </w:rPr>
        <w:t>; or</w:t>
      </w:r>
    </w:p>
    <w:p w:rsidR="007F11FA" w:rsidRPr="009E6A95" w:rsidRDefault="007F11FA" w:rsidP="007F11FA">
      <w:pPr>
        <w:pStyle w:val="Itemisedlist1"/>
        <w:numPr>
          <w:ilvl w:val="1"/>
          <w:numId w:val="8"/>
        </w:numPr>
        <w:jc w:val="left"/>
        <w:rPr>
          <w:color w:val="262626" w:themeColor="text1" w:themeTint="D9"/>
        </w:rPr>
      </w:pPr>
      <w:proofErr w:type="gramStart"/>
      <w:r w:rsidRPr="009E6A95">
        <w:rPr>
          <w:color w:val="262626" w:themeColor="text1" w:themeTint="D9"/>
        </w:rPr>
        <w:t>oth</w:t>
      </w:r>
      <w:r w:rsidR="00513C11" w:rsidRPr="009E6A95">
        <w:rPr>
          <w:color w:val="262626" w:themeColor="text1" w:themeTint="D9"/>
        </w:rPr>
        <w:t>er</w:t>
      </w:r>
      <w:proofErr w:type="gramEnd"/>
      <w:r w:rsidR="00513C11" w:rsidRPr="009E6A95">
        <w:rPr>
          <w:color w:val="262626" w:themeColor="text1" w:themeTint="D9"/>
        </w:rPr>
        <w:t xml:space="preserve"> reliable statistical methods</w:t>
      </w:r>
      <w:r w:rsidR="00D1411F">
        <w:rPr>
          <w:color w:val="262626" w:themeColor="text1" w:themeTint="D9"/>
        </w:rPr>
        <w:t>.</w:t>
      </w:r>
    </w:p>
    <w:p w:rsidR="007F11FA" w:rsidRPr="009E6A95" w:rsidRDefault="007F11FA" w:rsidP="007F11FA">
      <w:pPr>
        <w:rPr>
          <w:color w:val="262626" w:themeColor="text1" w:themeTint="D9"/>
        </w:rPr>
      </w:pPr>
      <w:r w:rsidRPr="009E6A95">
        <w:rPr>
          <w:color w:val="262626" w:themeColor="text1" w:themeTint="D9"/>
        </w:rPr>
        <w:t>The provisions in this Standard for expressing uncertainty have been developed primarily for Datum</w:t>
      </w:r>
      <w:r w:rsidR="004C57F0" w:rsidRPr="009E6A95">
        <w:rPr>
          <w:color w:val="262626" w:themeColor="text1" w:themeTint="D9"/>
        </w:rPr>
        <w:t xml:space="preserve"> Control</w:t>
      </w:r>
      <w:r w:rsidRPr="009E6A95">
        <w:rPr>
          <w:color w:val="262626" w:themeColor="text1" w:themeTint="D9"/>
        </w:rPr>
        <w:t xml:space="preserve"> Surveys, but are also intended to be adopted, where possible, for all forms of General Purpose Control Su</w:t>
      </w:r>
      <w:r w:rsidR="002200EB" w:rsidRPr="009E6A95">
        <w:rPr>
          <w:color w:val="262626" w:themeColor="text1" w:themeTint="D9"/>
        </w:rPr>
        <w:t>rveys</w:t>
      </w:r>
      <w:r w:rsidRPr="009E6A95">
        <w:rPr>
          <w:color w:val="262626" w:themeColor="text1" w:themeTint="D9"/>
        </w:rPr>
        <w:t>.</w:t>
      </w:r>
    </w:p>
    <w:p w:rsidR="007F11FA" w:rsidRPr="009E6A95" w:rsidRDefault="007F11FA" w:rsidP="007F11FA">
      <w:pPr>
        <w:rPr>
          <w:color w:val="262626" w:themeColor="text1" w:themeTint="D9"/>
        </w:rPr>
      </w:pPr>
      <w:r w:rsidRPr="009E6A95">
        <w:rPr>
          <w:color w:val="262626" w:themeColor="text1" w:themeTint="D9"/>
        </w:rPr>
        <w:t xml:space="preserve">Government and private sector organisations undertaking Datum </w:t>
      </w:r>
      <w:r w:rsidR="00977B9C" w:rsidRPr="009E6A95">
        <w:rPr>
          <w:color w:val="262626" w:themeColor="text1" w:themeTint="D9"/>
        </w:rPr>
        <w:t xml:space="preserve">Control </w:t>
      </w:r>
      <w:r w:rsidRPr="009E6A95">
        <w:rPr>
          <w:color w:val="262626" w:themeColor="text1" w:themeTint="D9"/>
        </w:rPr>
        <w:t>Surveys shall comply with this Standard.</w:t>
      </w:r>
    </w:p>
    <w:p w:rsidR="007F11FA" w:rsidRPr="009E6A95" w:rsidRDefault="00FB0F0B" w:rsidP="007F11FA">
      <w:pPr>
        <w:rPr>
          <w:color w:val="262626" w:themeColor="text1" w:themeTint="D9"/>
        </w:rPr>
      </w:pPr>
      <w:r w:rsidRPr="009E6A95">
        <w:rPr>
          <w:color w:val="262626" w:themeColor="text1" w:themeTint="D9"/>
        </w:rPr>
        <w:t>ICSM recommends that g</w:t>
      </w:r>
      <w:r w:rsidR="007F11FA" w:rsidRPr="009E6A95">
        <w:rPr>
          <w:color w:val="262626" w:themeColor="text1" w:themeTint="D9"/>
        </w:rPr>
        <w:t>overnment and private sector organisations undertaking General Purpose Control Surveys comply with this Standard.</w:t>
      </w:r>
    </w:p>
    <w:p w:rsidR="007F11FA" w:rsidRPr="009E6A95" w:rsidRDefault="007F11FA" w:rsidP="007F11FA">
      <w:pPr>
        <w:rPr>
          <w:color w:val="262626" w:themeColor="text1" w:themeTint="D9"/>
        </w:rPr>
      </w:pPr>
      <w:r w:rsidRPr="009E6A95">
        <w:rPr>
          <w:color w:val="262626" w:themeColor="text1" w:themeTint="D9"/>
        </w:rPr>
        <w:t xml:space="preserve">Information on how to use this Standard, together with additional technical detail and commentary, is provided in the technical manuals and </w:t>
      </w:r>
      <w:r w:rsidR="001F7C7C">
        <w:rPr>
          <w:color w:val="262626" w:themeColor="text1" w:themeTint="D9"/>
        </w:rPr>
        <w:t>Guideline</w:t>
      </w:r>
      <w:r w:rsidRPr="009E6A95">
        <w:rPr>
          <w:color w:val="262626" w:themeColor="text1" w:themeTint="D9"/>
        </w:rPr>
        <w:t>s listed in the reference section.</w:t>
      </w:r>
    </w:p>
    <w:p w:rsidR="00336766" w:rsidRPr="009E6A95" w:rsidRDefault="00336766" w:rsidP="00336766">
      <w:pPr>
        <w:pStyle w:val="NormalNote"/>
        <w:rPr>
          <w:color w:val="262626" w:themeColor="text1" w:themeTint="D9"/>
        </w:rPr>
      </w:pPr>
    </w:p>
    <w:p w:rsidR="00E2669B" w:rsidRPr="009E6A95" w:rsidRDefault="00E2669B" w:rsidP="00E2669B">
      <w:pPr>
        <w:rPr>
          <w:color w:val="262626" w:themeColor="text1" w:themeTint="D9"/>
        </w:rPr>
      </w:pPr>
    </w:p>
    <w:p w:rsidR="00CA15D8" w:rsidRPr="009E6A95" w:rsidRDefault="00CA15D8" w:rsidP="00C24F76">
      <w:pPr>
        <w:pStyle w:val="NormalNote"/>
        <w:rPr>
          <w:color w:val="262626" w:themeColor="text1" w:themeTint="D9"/>
        </w:rPr>
      </w:pPr>
    </w:p>
    <w:p w:rsidR="00C959F5" w:rsidRPr="009E6A95" w:rsidRDefault="00C959F5" w:rsidP="007F11FA">
      <w:pPr>
        <w:rPr>
          <w:color w:val="262626" w:themeColor="text1" w:themeTint="D9"/>
        </w:rPr>
      </w:pPr>
    </w:p>
    <w:p w:rsidR="00627F90" w:rsidRPr="00BA4555" w:rsidRDefault="00FB7CFD" w:rsidP="000A26FB">
      <w:pPr>
        <w:pStyle w:val="Heading2"/>
        <w:rPr>
          <w:color w:val="4F6228" w:themeColor="accent3" w:themeShade="80"/>
        </w:rPr>
      </w:pPr>
      <w:bookmarkStart w:id="17" w:name="_Ref320620355"/>
      <w:bookmarkStart w:id="18" w:name="_Toc399489505"/>
      <w:r w:rsidRPr="00BA4555">
        <w:rPr>
          <w:color w:val="4F6228" w:themeColor="accent3" w:themeShade="80"/>
        </w:rPr>
        <w:t xml:space="preserve">Normative </w:t>
      </w:r>
      <w:r w:rsidR="00627F90" w:rsidRPr="00BA4555">
        <w:rPr>
          <w:color w:val="4F6228" w:themeColor="accent3" w:themeShade="80"/>
        </w:rPr>
        <w:t>References</w:t>
      </w:r>
      <w:bookmarkEnd w:id="17"/>
      <w:bookmarkEnd w:id="18"/>
    </w:p>
    <w:p w:rsidR="00627F90" w:rsidRPr="009E6A95" w:rsidRDefault="00627F90" w:rsidP="00627F90">
      <w:pPr>
        <w:rPr>
          <w:color w:val="262626" w:themeColor="text1" w:themeTint="D9"/>
        </w:rPr>
      </w:pPr>
      <w:r w:rsidRPr="009E6A95">
        <w:rPr>
          <w:color w:val="262626" w:themeColor="text1" w:themeTint="D9"/>
        </w:rPr>
        <w:t xml:space="preserve">The following </w:t>
      </w:r>
      <w:r w:rsidR="001F7C7C">
        <w:rPr>
          <w:color w:val="262626" w:themeColor="text1" w:themeTint="D9"/>
        </w:rPr>
        <w:t>Guideline</w:t>
      </w:r>
      <w:r w:rsidRPr="009E6A95">
        <w:rPr>
          <w:color w:val="262626" w:themeColor="text1" w:themeTint="D9"/>
        </w:rPr>
        <w:t>s and ICSM technical manuals may have relevance to the application of this Standard.</w:t>
      </w:r>
    </w:p>
    <w:p w:rsidR="00627F90" w:rsidRPr="009E6A95" w:rsidRDefault="00627F90" w:rsidP="00627F90">
      <w:pPr>
        <w:rPr>
          <w:color w:val="262626" w:themeColor="text1" w:themeTint="D9"/>
        </w:rPr>
      </w:pPr>
      <w:r w:rsidRPr="009E6A95">
        <w:rPr>
          <w:b/>
          <w:color w:val="262626" w:themeColor="text1" w:themeTint="D9"/>
        </w:rPr>
        <w:t>International Guidelines</w:t>
      </w:r>
      <w:r w:rsidRPr="009E6A95">
        <w:rPr>
          <w:color w:val="262626" w:themeColor="text1" w:themeTint="D9"/>
        </w:rPr>
        <w:t xml:space="preserve"> </w:t>
      </w:r>
    </w:p>
    <w:p w:rsidR="00627F90" w:rsidRPr="009E6A95" w:rsidRDefault="00627F90" w:rsidP="00627F90">
      <w:pPr>
        <w:pStyle w:val="Bibliographyreference"/>
        <w:rPr>
          <w:color w:val="262626" w:themeColor="text1" w:themeTint="D9"/>
        </w:rPr>
      </w:pPr>
      <w:r w:rsidRPr="009E6A95">
        <w:rPr>
          <w:color w:val="262626" w:themeColor="text1" w:themeTint="D9"/>
        </w:rPr>
        <w:t xml:space="preserve">JCGM 100:2008, </w:t>
      </w:r>
      <w:r w:rsidRPr="009E6A95">
        <w:rPr>
          <w:i/>
          <w:color w:val="262626" w:themeColor="text1" w:themeTint="D9"/>
        </w:rPr>
        <w:t>Evaluation of Measurement Data – Guide to the Expression of Uncertainty in Measurement</w:t>
      </w:r>
      <w:r w:rsidRPr="009E6A95">
        <w:rPr>
          <w:color w:val="262626" w:themeColor="text1" w:themeTint="D9"/>
        </w:rPr>
        <w:t xml:space="preserve">, Joint Committee for Guides in Metrology – Bureau International des </w:t>
      </w:r>
      <w:proofErr w:type="spellStart"/>
      <w:r w:rsidRPr="009E6A95">
        <w:rPr>
          <w:color w:val="262626" w:themeColor="text1" w:themeTint="D9"/>
        </w:rPr>
        <w:t>Poids</w:t>
      </w:r>
      <w:proofErr w:type="spellEnd"/>
      <w:r w:rsidRPr="009E6A95">
        <w:rPr>
          <w:color w:val="262626" w:themeColor="text1" w:themeTint="D9"/>
        </w:rPr>
        <w:t xml:space="preserve"> et </w:t>
      </w:r>
      <w:proofErr w:type="spellStart"/>
      <w:r w:rsidRPr="009E6A95">
        <w:rPr>
          <w:color w:val="262626" w:themeColor="text1" w:themeTint="D9"/>
        </w:rPr>
        <w:t>Mesures</w:t>
      </w:r>
      <w:proofErr w:type="spellEnd"/>
      <w:r w:rsidRPr="009E6A95">
        <w:rPr>
          <w:color w:val="262626" w:themeColor="text1" w:themeTint="D9"/>
        </w:rPr>
        <w:t>, Paris, France.</w:t>
      </w:r>
    </w:p>
    <w:p w:rsidR="00627F90" w:rsidRPr="009E6A95" w:rsidRDefault="00627F90" w:rsidP="00627F90">
      <w:pPr>
        <w:rPr>
          <w:color w:val="262626" w:themeColor="text1" w:themeTint="D9"/>
        </w:rPr>
      </w:pPr>
      <w:r w:rsidRPr="009E6A95">
        <w:rPr>
          <w:b/>
          <w:color w:val="262626" w:themeColor="text1" w:themeTint="D9"/>
        </w:rPr>
        <w:t>SP1 Guidelines</w:t>
      </w:r>
      <w:bookmarkStart w:id="19" w:name="SP1_GUIDELINES"/>
      <w:bookmarkEnd w:id="19"/>
    </w:p>
    <w:p w:rsidR="00200D89" w:rsidRPr="009E6A95" w:rsidRDefault="00200D89" w:rsidP="00200D89">
      <w:pPr>
        <w:pStyle w:val="Bibliographyreference"/>
        <w:rPr>
          <w:color w:val="262626" w:themeColor="text1" w:themeTint="D9"/>
        </w:rPr>
      </w:pPr>
      <w:proofErr w:type="gramStart"/>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Guideline for the Adjustment</w:t>
      </w:r>
      <w:r w:rsidR="00B63AA4" w:rsidRPr="009E6A95">
        <w:rPr>
          <w:i/>
          <w:color w:val="262626" w:themeColor="text1" w:themeTint="D9"/>
        </w:rPr>
        <w:t xml:space="preserve"> and</w:t>
      </w:r>
      <w:r w:rsidRPr="009E6A95">
        <w:rPr>
          <w:i/>
          <w:color w:val="262626" w:themeColor="text1" w:themeTint="D9"/>
        </w:rPr>
        <w:t xml:space="preserve"> </w:t>
      </w:r>
      <w:r w:rsidR="00CB1D32">
        <w:rPr>
          <w:i/>
          <w:color w:val="262626" w:themeColor="text1" w:themeTint="D9"/>
        </w:rPr>
        <w:t>Evaluation</w:t>
      </w:r>
      <w:r w:rsidR="00CB1D32" w:rsidRPr="009E6A95">
        <w:rPr>
          <w:i/>
          <w:color w:val="262626" w:themeColor="text1" w:themeTint="D9"/>
        </w:rPr>
        <w:t xml:space="preserve"> </w:t>
      </w:r>
      <w:r w:rsidRPr="009E6A95">
        <w:rPr>
          <w:i/>
          <w:color w:val="262626" w:themeColor="text1" w:themeTint="D9"/>
        </w:rPr>
        <w:t>of Survey Control</w:t>
      </w:r>
      <w:r w:rsidRPr="009E6A95">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roofErr w:type="gramEnd"/>
    </w:p>
    <w:p w:rsidR="00627F90" w:rsidRPr="009E6A95" w:rsidRDefault="00627F90" w:rsidP="00627F90">
      <w:pPr>
        <w:pStyle w:val="Bibliographyreference"/>
        <w:rPr>
          <w:color w:val="262626" w:themeColor="text1" w:themeTint="D9"/>
        </w:rPr>
      </w:pPr>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Guideline for</w:t>
      </w:r>
      <w:r w:rsidR="003E3404" w:rsidRPr="009E6A95">
        <w:rPr>
          <w:i/>
          <w:color w:val="262626" w:themeColor="text1" w:themeTint="D9"/>
        </w:rPr>
        <w:t xml:space="preserve"> Control Surveys by</w:t>
      </w:r>
      <w:r w:rsidRPr="009E6A95">
        <w:rPr>
          <w:i/>
          <w:color w:val="262626" w:themeColor="text1" w:themeTint="D9"/>
        </w:rPr>
        <w:t xml:space="preserve"> Differential Levelling</w:t>
      </w:r>
      <w:r w:rsidRPr="009E6A95">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
    <w:p w:rsidR="00200D89" w:rsidRPr="009E6A95" w:rsidRDefault="00200D89" w:rsidP="00200D89">
      <w:pPr>
        <w:pStyle w:val="Bibliographyreference"/>
        <w:rPr>
          <w:color w:val="262626" w:themeColor="text1" w:themeTint="D9"/>
        </w:rPr>
      </w:pPr>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Guideline for Control Surveys by GNSS</w:t>
      </w:r>
      <w:r w:rsidRPr="009E6A95">
        <w:rPr>
          <w:color w:val="262626" w:themeColor="text1" w:themeTint="D9"/>
        </w:rPr>
        <w:t>,</w:t>
      </w:r>
      <w:r w:rsidR="00C56224" w:rsidRPr="00C56224">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
    <w:p w:rsidR="00627F90" w:rsidRPr="009E6A95" w:rsidRDefault="00627F90" w:rsidP="00627F90">
      <w:pPr>
        <w:pStyle w:val="Bibliographyreference"/>
        <w:rPr>
          <w:color w:val="262626" w:themeColor="text1" w:themeTint="D9"/>
        </w:rPr>
      </w:pPr>
      <w:proofErr w:type="gramStart"/>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 xml:space="preserve">Guideline for </w:t>
      </w:r>
      <w:r w:rsidR="00CB1D32">
        <w:rPr>
          <w:i/>
          <w:color w:val="262626" w:themeColor="text1" w:themeTint="D9"/>
        </w:rPr>
        <w:t>Conventional Traverse Surveys</w:t>
      </w:r>
      <w:r w:rsidRPr="009E6A95">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roofErr w:type="gramEnd"/>
    </w:p>
    <w:p w:rsidR="00627F90" w:rsidRPr="009E6A95" w:rsidRDefault="00627F90" w:rsidP="00627F90">
      <w:pPr>
        <w:pStyle w:val="Bibliographyreference"/>
        <w:rPr>
          <w:color w:val="262626" w:themeColor="text1" w:themeTint="D9"/>
        </w:rPr>
      </w:pPr>
      <w:proofErr w:type="gramStart"/>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 xml:space="preserve">Guideline for the Installation and </w:t>
      </w:r>
      <w:r w:rsidR="00CB1D32">
        <w:rPr>
          <w:i/>
          <w:color w:val="262626" w:themeColor="text1" w:themeTint="D9"/>
        </w:rPr>
        <w:t>Documentation</w:t>
      </w:r>
      <w:r w:rsidRPr="009E6A95">
        <w:rPr>
          <w:i/>
          <w:color w:val="262626" w:themeColor="text1" w:themeTint="D9"/>
        </w:rPr>
        <w:t xml:space="preserve"> of Survey Control Marks</w:t>
      </w:r>
      <w:r w:rsidRPr="009E6A95">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roofErr w:type="gramEnd"/>
    </w:p>
    <w:p w:rsidR="00627F90" w:rsidRPr="009E6A95" w:rsidRDefault="00627F90" w:rsidP="00627F90">
      <w:pPr>
        <w:pStyle w:val="Bibliographyreference"/>
        <w:rPr>
          <w:color w:val="262626" w:themeColor="text1" w:themeTint="D9"/>
        </w:rPr>
      </w:pPr>
      <w:proofErr w:type="gramStart"/>
      <w:r w:rsidRPr="009E6A95">
        <w:rPr>
          <w:color w:val="262626" w:themeColor="text1" w:themeTint="D9"/>
        </w:rPr>
        <w:t>ICSM (201</w:t>
      </w:r>
      <w:r w:rsidR="00C56224">
        <w:rPr>
          <w:color w:val="262626" w:themeColor="text1" w:themeTint="D9"/>
        </w:rPr>
        <w:t>4</w:t>
      </w:r>
      <w:r w:rsidRPr="009E6A95">
        <w:rPr>
          <w:color w:val="262626" w:themeColor="text1" w:themeTint="D9"/>
        </w:rPr>
        <w:t xml:space="preserve">), </w:t>
      </w:r>
      <w:r w:rsidRPr="009E6A95">
        <w:rPr>
          <w:i/>
          <w:color w:val="262626" w:themeColor="text1" w:themeTint="D9"/>
        </w:rPr>
        <w:t>Guideline for Continuously Operating Reference Stations</w:t>
      </w:r>
      <w:r w:rsidRPr="009E6A95">
        <w:rPr>
          <w:color w:val="262626" w:themeColor="text1" w:themeTint="D9"/>
        </w:rPr>
        <w:t xml:space="preserve">, </w:t>
      </w:r>
      <w:r w:rsidR="00C56224">
        <w:rPr>
          <w:color w:val="262626" w:themeColor="text1" w:themeTint="D9"/>
        </w:rPr>
        <w:t xml:space="preserve">Version 2.1, </w:t>
      </w:r>
      <w:r w:rsidRPr="009E6A95">
        <w:rPr>
          <w:color w:val="262626" w:themeColor="text1" w:themeTint="D9"/>
        </w:rPr>
        <w:t>Intergovernmental Committee on Surveying and Mapping, Canberra, Australia</w:t>
      </w:r>
      <w:r w:rsidR="007A0D52" w:rsidRPr="009E6A95">
        <w:rPr>
          <w:color w:val="262626" w:themeColor="text1" w:themeTint="D9"/>
        </w:rPr>
        <w:t>.</w:t>
      </w:r>
      <w:proofErr w:type="gramEnd"/>
    </w:p>
    <w:p w:rsidR="00627F90" w:rsidRPr="009E6A95" w:rsidRDefault="00627F90" w:rsidP="00627F90">
      <w:pPr>
        <w:rPr>
          <w:color w:val="262626" w:themeColor="text1" w:themeTint="D9"/>
        </w:rPr>
      </w:pPr>
      <w:r w:rsidRPr="009E6A95">
        <w:rPr>
          <w:b/>
          <w:color w:val="262626" w:themeColor="text1" w:themeTint="D9"/>
        </w:rPr>
        <w:t>ICSM Technical Manuals</w:t>
      </w:r>
      <w:r w:rsidRPr="009E6A95">
        <w:rPr>
          <w:color w:val="262626" w:themeColor="text1" w:themeTint="D9"/>
        </w:rPr>
        <w:t xml:space="preserve"> </w:t>
      </w:r>
    </w:p>
    <w:p w:rsidR="00627F90" w:rsidRPr="009E6A95" w:rsidRDefault="00627F90" w:rsidP="00627F90">
      <w:pPr>
        <w:pStyle w:val="Bibliographyreference"/>
        <w:rPr>
          <w:color w:val="262626" w:themeColor="text1" w:themeTint="D9"/>
        </w:rPr>
      </w:pPr>
      <w:proofErr w:type="gramStart"/>
      <w:r w:rsidRPr="009E6A95">
        <w:rPr>
          <w:color w:val="262626" w:themeColor="text1" w:themeTint="D9"/>
        </w:rPr>
        <w:t xml:space="preserve">ICSM (2006), </w:t>
      </w:r>
      <w:r w:rsidRPr="009E6A95">
        <w:rPr>
          <w:i/>
          <w:color w:val="262626" w:themeColor="text1" w:themeTint="D9"/>
        </w:rPr>
        <w:t>Geocentric Datum of Australia Technical Manual,</w:t>
      </w:r>
      <w:r w:rsidRPr="009E6A95">
        <w:rPr>
          <w:color w:val="262626" w:themeColor="text1" w:themeTint="D9"/>
        </w:rPr>
        <w:t xml:space="preserve"> Intergovernmental Committee on Surveying and Mapping, Canberra, Australia</w:t>
      </w:r>
      <w:r w:rsidR="007A0D52" w:rsidRPr="009E6A95">
        <w:rPr>
          <w:color w:val="262626" w:themeColor="text1" w:themeTint="D9"/>
        </w:rPr>
        <w:t>.</w:t>
      </w:r>
      <w:proofErr w:type="gramEnd"/>
    </w:p>
    <w:p w:rsidR="00627F90" w:rsidRPr="009E6A95" w:rsidRDefault="00627F90" w:rsidP="00627F90">
      <w:pPr>
        <w:pStyle w:val="Bibliographyreference"/>
        <w:rPr>
          <w:color w:val="262626" w:themeColor="text1" w:themeTint="D9"/>
        </w:rPr>
      </w:pPr>
      <w:proofErr w:type="gramStart"/>
      <w:r w:rsidRPr="009E6A95">
        <w:rPr>
          <w:color w:val="262626" w:themeColor="text1" w:themeTint="D9"/>
        </w:rPr>
        <w:t xml:space="preserve">ICSM (2007), </w:t>
      </w:r>
      <w:r w:rsidRPr="009E6A95">
        <w:rPr>
          <w:i/>
          <w:color w:val="262626" w:themeColor="text1" w:themeTint="D9"/>
        </w:rPr>
        <w:t xml:space="preserve">Australian Tides Manual – Special Publication 9, </w:t>
      </w:r>
      <w:r w:rsidRPr="009E6A95">
        <w:rPr>
          <w:color w:val="262626" w:themeColor="text1" w:themeTint="D9"/>
        </w:rPr>
        <w:t>Intergovernmental Committee on Surveying and Mapping, Wollongong, Australia</w:t>
      </w:r>
      <w:r w:rsidR="007A0D52" w:rsidRPr="009E6A95">
        <w:rPr>
          <w:color w:val="262626" w:themeColor="text1" w:themeTint="D9"/>
        </w:rPr>
        <w:t>.</w:t>
      </w:r>
      <w:proofErr w:type="gramEnd"/>
    </w:p>
    <w:p w:rsidR="00C959F5" w:rsidRPr="009E6A95" w:rsidRDefault="00C959F5" w:rsidP="002E3E5A">
      <w:pPr>
        <w:rPr>
          <w:color w:val="262626" w:themeColor="text1" w:themeTint="D9"/>
        </w:rPr>
      </w:pPr>
      <w:bookmarkStart w:id="20" w:name="_Toc331055417"/>
    </w:p>
    <w:p w:rsidR="00723C2E" w:rsidRPr="00BA4555" w:rsidRDefault="002E3E5A" w:rsidP="00787050">
      <w:pPr>
        <w:pStyle w:val="Heading1"/>
        <w:rPr>
          <w:color w:val="4F6228" w:themeColor="accent3" w:themeShade="80"/>
        </w:rPr>
      </w:pPr>
      <w:bookmarkStart w:id="21" w:name="_Toc333563203"/>
      <w:bookmarkStart w:id="22" w:name="_Toc333563204"/>
      <w:bookmarkEnd w:id="21"/>
      <w:bookmarkEnd w:id="22"/>
      <w:r w:rsidRPr="009E6A95">
        <w:rPr>
          <w:color w:val="262626" w:themeColor="text1" w:themeTint="D9"/>
        </w:rPr>
        <w:br w:type="page"/>
      </w:r>
      <w:bookmarkStart w:id="23" w:name="_Toc399489506"/>
      <w:r w:rsidRPr="00BA4555">
        <w:rPr>
          <w:color w:val="4F6228" w:themeColor="accent3" w:themeShade="80"/>
        </w:rPr>
        <w:t>C</w:t>
      </w:r>
      <w:bookmarkEnd w:id="20"/>
      <w:r w:rsidR="00787050" w:rsidRPr="00BA4555">
        <w:rPr>
          <w:color w:val="4F6228" w:themeColor="accent3" w:themeShade="80"/>
        </w:rPr>
        <w:t>onnection to datum</w:t>
      </w:r>
      <w:bookmarkEnd w:id="23"/>
    </w:p>
    <w:p w:rsidR="00394A0D" w:rsidRPr="009E6A95" w:rsidRDefault="00394A0D" w:rsidP="00E632EF">
      <w:bookmarkStart w:id="24" w:name="_Toc169590229"/>
      <w:bookmarkStart w:id="25" w:name="_Toc169590275"/>
      <w:bookmarkStart w:id="26" w:name="_Toc169593550"/>
      <w:bookmarkStart w:id="27" w:name="_Toc169590231"/>
      <w:bookmarkStart w:id="28" w:name="_Toc169590277"/>
      <w:bookmarkStart w:id="29" w:name="_Toc169593552"/>
      <w:bookmarkStart w:id="30" w:name="_Toc169590232"/>
      <w:bookmarkStart w:id="31" w:name="_Toc169590278"/>
      <w:bookmarkStart w:id="32" w:name="_Toc169593553"/>
      <w:bookmarkStart w:id="33" w:name="_Toc169590233"/>
      <w:bookmarkStart w:id="34" w:name="_Toc169590279"/>
      <w:bookmarkStart w:id="35" w:name="_Toc169593554"/>
      <w:bookmarkStart w:id="36" w:name="_Toc169590234"/>
      <w:bookmarkStart w:id="37" w:name="_Toc169590280"/>
      <w:bookmarkStart w:id="38" w:name="_Toc169593555"/>
      <w:bookmarkStart w:id="39" w:name="_Toc169590236"/>
      <w:bookmarkStart w:id="40" w:name="_Toc169590282"/>
      <w:bookmarkStart w:id="41" w:name="_Toc169593557"/>
      <w:bookmarkStart w:id="42" w:name="_Toc331055418"/>
      <w:bookmarkStart w:id="43" w:name="_Toc331055419"/>
      <w:bookmarkStart w:id="44" w:name="_Toc331055420"/>
      <w:bookmarkStart w:id="45" w:name="_Toc33105542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Survey control marks established via </w:t>
      </w:r>
      <w:r w:rsidR="00F4793B" w:rsidRPr="009E6A95">
        <w:t>Datum</w:t>
      </w:r>
      <w:r w:rsidR="00057C24" w:rsidRPr="009E6A95">
        <w:t xml:space="preserve"> Control</w:t>
      </w:r>
      <w:r w:rsidR="00F4793B" w:rsidRPr="009E6A95">
        <w:t xml:space="preserve"> Surveys and</w:t>
      </w:r>
      <w:r w:rsidR="00C5197C" w:rsidRPr="009E6A95">
        <w:t xml:space="preserve"> General Purpose Control Survey</w:t>
      </w:r>
      <w:r w:rsidR="00F4793B" w:rsidRPr="009E6A95">
        <w:t>s</w:t>
      </w:r>
      <w:r w:rsidR="00473A26" w:rsidRPr="009E6A95">
        <w:t xml:space="preserve"> </w:t>
      </w:r>
      <w:r w:rsidR="0015338B">
        <w:t>for Australia’s NGRS</w:t>
      </w:r>
      <w:r w:rsidR="0015338B" w:rsidRPr="009E6A95">
        <w:t xml:space="preserve"> </w:t>
      </w:r>
      <w:r w:rsidR="00F32C9D" w:rsidRPr="009E6A95">
        <w:t>shall be coordinated relative to the datums set out below.</w:t>
      </w:r>
      <w:r w:rsidR="00D30955">
        <w:t xml:space="preserve"> </w:t>
      </w:r>
    </w:p>
    <w:p w:rsidR="00F32C9D" w:rsidRPr="00BA4555" w:rsidRDefault="00F32C9D" w:rsidP="00F32C9D">
      <w:pPr>
        <w:pStyle w:val="Heading2"/>
        <w:rPr>
          <w:color w:val="4F6228" w:themeColor="accent3" w:themeShade="80"/>
        </w:rPr>
      </w:pPr>
      <w:bookmarkStart w:id="46" w:name="_Toc228937774"/>
      <w:bookmarkStart w:id="47" w:name="_Toc228950991"/>
      <w:bookmarkStart w:id="48" w:name="_Toc228937775"/>
      <w:bookmarkStart w:id="49" w:name="_Toc228950992"/>
      <w:bookmarkStart w:id="50" w:name="_Toc228937776"/>
      <w:bookmarkStart w:id="51" w:name="_Toc228950993"/>
      <w:bookmarkStart w:id="52" w:name="_Ref169422482"/>
      <w:bookmarkStart w:id="53" w:name="_Ref170290188"/>
      <w:bookmarkStart w:id="54" w:name="_Toc399489507"/>
      <w:bookmarkEnd w:id="46"/>
      <w:bookmarkEnd w:id="47"/>
      <w:bookmarkEnd w:id="48"/>
      <w:bookmarkEnd w:id="49"/>
      <w:bookmarkEnd w:id="50"/>
      <w:bookmarkEnd w:id="51"/>
      <w:r w:rsidRPr="00BA4555">
        <w:rPr>
          <w:color w:val="4F6228" w:themeColor="accent3" w:themeShade="80"/>
        </w:rPr>
        <w:t>National geodetic datum</w:t>
      </w:r>
      <w:bookmarkEnd w:id="52"/>
      <w:bookmarkEnd w:id="53"/>
      <w:bookmarkEnd w:id="54"/>
      <w:r w:rsidRPr="00BA4555">
        <w:rPr>
          <w:color w:val="4F6228" w:themeColor="accent3" w:themeShade="80"/>
        </w:rPr>
        <w:t xml:space="preserve"> </w:t>
      </w:r>
    </w:p>
    <w:p w:rsidR="00363EB2" w:rsidRPr="009E6A95" w:rsidRDefault="00AA1CF7" w:rsidP="00F32C9D">
      <w:pPr>
        <w:rPr>
          <w:color w:val="262626" w:themeColor="text1" w:themeTint="D9"/>
        </w:rPr>
      </w:pPr>
      <w:r w:rsidRPr="009E6A95">
        <w:rPr>
          <w:color w:val="262626" w:themeColor="text1" w:themeTint="D9"/>
        </w:rPr>
        <w:t>For</w:t>
      </w:r>
      <w:r w:rsidR="00A27491" w:rsidRPr="009E6A95">
        <w:rPr>
          <w:color w:val="262626" w:themeColor="text1" w:themeTint="D9"/>
        </w:rPr>
        <w:t xml:space="preserve"> Australia’s NGRS, t</w:t>
      </w:r>
      <w:r w:rsidR="00F32C9D" w:rsidRPr="009E6A95">
        <w:rPr>
          <w:color w:val="262626" w:themeColor="text1" w:themeTint="D9"/>
        </w:rPr>
        <w:t xml:space="preserve">he geodetic datum is the Geocentric Datum of Australia 1994 (GDA94). GDA94 is a </w:t>
      </w:r>
      <w:r w:rsidR="00EE0D0D" w:rsidRPr="009E6A95">
        <w:rPr>
          <w:color w:val="262626" w:themeColor="text1" w:themeTint="D9"/>
        </w:rPr>
        <w:t xml:space="preserve">three </w:t>
      </w:r>
      <w:r w:rsidR="00F32C9D" w:rsidRPr="009E6A95">
        <w:rPr>
          <w:color w:val="262626" w:themeColor="text1" w:themeTint="D9"/>
        </w:rPr>
        <w:t xml:space="preserve">dimensional, static coordinate </w:t>
      </w:r>
      <w:r w:rsidR="00285A91" w:rsidRPr="009E6A95">
        <w:rPr>
          <w:color w:val="262626" w:themeColor="text1" w:themeTint="D9"/>
        </w:rPr>
        <w:t xml:space="preserve">datum </w:t>
      </w:r>
      <w:r w:rsidR="00F32C9D" w:rsidRPr="009E6A95">
        <w:rPr>
          <w:color w:val="262626" w:themeColor="text1" w:themeTint="D9"/>
        </w:rPr>
        <w:t xml:space="preserve">based on </w:t>
      </w:r>
      <w:r w:rsidR="00285A91" w:rsidRPr="009E6A95">
        <w:rPr>
          <w:color w:val="262626" w:themeColor="text1" w:themeTint="D9"/>
        </w:rPr>
        <w:t xml:space="preserve">the </w:t>
      </w:r>
      <w:r w:rsidR="00F32C9D" w:rsidRPr="009E6A95">
        <w:rPr>
          <w:color w:val="262626" w:themeColor="text1" w:themeTint="D9"/>
        </w:rPr>
        <w:t>International Terrestrial Reference Frame (ITRF) 1992</w:t>
      </w:r>
      <w:r w:rsidR="007E6734" w:rsidRPr="009E6A95">
        <w:rPr>
          <w:color w:val="262626" w:themeColor="text1" w:themeTint="D9"/>
        </w:rPr>
        <w:t>. It is</w:t>
      </w:r>
      <w:r w:rsidR="00F32C9D" w:rsidRPr="009E6A95">
        <w:rPr>
          <w:color w:val="262626" w:themeColor="text1" w:themeTint="D9"/>
        </w:rPr>
        <w:t xml:space="preserve"> held fixed at the reference epoch of 1 January 1994</w:t>
      </w:r>
      <w:r w:rsidR="00363EB2" w:rsidRPr="009E6A95">
        <w:rPr>
          <w:color w:val="262626" w:themeColor="text1" w:themeTint="D9"/>
        </w:rPr>
        <w:t xml:space="preserve"> and</w:t>
      </w:r>
      <w:r w:rsidR="00E4767A" w:rsidRPr="009E6A95">
        <w:rPr>
          <w:color w:val="262626" w:themeColor="text1" w:themeTint="D9"/>
        </w:rPr>
        <w:t xml:space="preserve"> is</w:t>
      </w:r>
      <w:r w:rsidR="00F00B0E" w:rsidRPr="009E6A95">
        <w:rPr>
          <w:color w:val="262626" w:themeColor="text1" w:themeTint="D9"/>
        </w:rPr>
        <w:t xml:space="preserve"> referenced to the GRS80 ellipsoid</w:t>
      </w:r>
      <w:r w:rsidR="00363EB2" w:rsidRPr="009E6A95">
        <w:rPr>
          <w:color w:val="262626" w:themeColor="text1" w:themeTint="D9"/>
        </w:rPr>
        <w:t>.</w:t>
      </w:r>
    </w:p>
    <w:p w:rsidR="00F32C9D" w:rsidRPr="009E6A95" w:rsidRDefault="00F32C9D" w:rsidP="00F32C9D">
      <w:pPr>
        <w:rPr>
          <w:color w:val="262626" w:themeColor="text1" w:themeTint="D9"/>
        </w:rPr>
      </w:pPr>
      <w:r w:rsidRPr="009E6A95">
        <w:rPr>
          <w:color w:val="262626" w:themeColor="text1" w:themeTint="D9"/>
        </w:rPr>
        <w:t>Coordinates of survey control marks on the Australian mainland, Tasmania, Australian islands and Australian External Territories, shall be computed in terms of GDA94.</w:t>
      </w:r>
    </w:p>
    <w:p w:rsidR="00385C87" w:rsidRDefault="00F32C9D" w:rsidP="00F32C9D">
      <w:pPr>
        <w:rPr>
          <w:color w:val="262626" w:themeColor="text1" w:themeTint="D9"/>
        </w:rPr>
      </w:pPr>
      <w:r w:rsidRPr="009E6A95">
        <w:rPr>
          <w:color w:val="262626" w:themeColor="text1" w:themeTint="D9"/>
        </w:rPr>
        <w:t>The Universal Transverse Mercator (UTM) projection of GDA94 is the Map Grid of Australia 1994 (MGA94), and is the officially recognised grid coordinate realisation of GDA94.</w:t>
      </w:r>
    </w:p>
    <w:p w:rsidR="00C24F76" w:rsidRPr="009E6A95" w:rsidRDefault="00F32C9D" w:rsidP="00F32C9D">
      <w:pPr>
        <w:rPr>
          <w:color w:val="262626" w:themeColor="text1" w:themeTint="D9"/>
        </w:rPr>
      </w:pPr>
      <w:r w:rsidRPr="009E6A95">
        <w:rPr>
          <w:color w:val="262626" w:themeColor="text1" w:themeTint="D9"/>
        </w:rPr>
        <w:t xml:space="preserve">In the absence of GDA94 survey control marks, coordinates of survey control marks on Australian External Territories may be computed in terms of ITRF. Where ITRF coordinates are used, the definition and epoch of the ITRF </w:t>
      </w:r>
      <w:r w:rsidR="00823E1F" w:rsidRPr="009E6A95">
        <w:rPr>
          <w:color w:val="262626" w:themeColor="text1" w:themeTint="D9"/>
        </w:rPr>
        <w:t>shall</w:t>
      </w:r>
      <w:r w:rsidRPr="009E6A95">
        <w:rPr>
          <w:color w:val="262626" w:themeColor="text1" w:themeTint="D9"/>
        </w:rPr>
        <w:t xml:space="preserve"> be clearly specified.</w:t>
      </w:r>
    </w:p>
    <w:p w:rsidR="00F32C9D" w:rsidRPr="00BA4555" w:rsidRDefault="00F32C9D" w:rsidP="00F32C9D">
      <w:pPr>
        <w:pStyle w:val="Heading2"/>
        <w:rPr>
          <w:color w:val="4F6228" w:themeColor="accent3" w:themeShade="80"/>
        </w:rPr>
      </w:pPr>
      <w:bookmarkStart w:id="55" w:name="_Toc399489508"/>
      <w:r w:rsidRPr="00BA4555">
        <w:rPr>
          <w:color w:val="4F6228" w:themeColor="accent3" w:themeShade="80"/>
        </w:rPr>
        <w:t>National height datum</w:t>
      </w:r>
      <w:bookmarkEnd w:id="55"/>
    </w:p>
    <w:p w:rsidR="00F32C9D" w:rsidRPr="009E6A95" w:rsidRDefault="00AA1CF7" w:rsidP="00F32C9D">
      <w:pPr>
        <w:rPr>
          <w:color w:val="262626" w:themeColor="text1" w:themeTint="D9"/>
        </w:rPr>
      </w:pPr>
      <w:r w:rsidRPr="009E6A95">
        <w:rPr>
          <w:color w:val="262626" w:themeColor="text1" w:themeTint="D9"/>
        </w:rPr>
        <w:t>For</w:t>
      </w:r>
      <w:r w:rsidR="00A27491" w:rsidRPr="009E6A95">
        <w:rPr>
          <w:color w:val="262626" w:themeColor="text1" w:themeTint="D9"/>
        </w:rPr>
        <w:t xml:space="preserve"> Australia’s NGRS, t</w:t>
      </w:r>
      <w:r w:rsidR="00F32C9D" w:rsidRPr="009E6A95">
        <w:rPr>
          <w:color w:val="262626" w:themeColor="text1" w:themeTint="D9"/>
        </w:rPr>
        <w:t xml:space="preserve">he height datum is the Australian Height Datum (AHD). </w:t>
      </w:r>
      <w:r w:rsidR="001B3BAE" w:rsidRPr="009E6A95">
        <w:rPr>
          <w:color w:val="262626" w:themeColor="text1" w:themeTint="D9"/>
        </w:rPr>
        <w:t>H</w:t>
      </w:r>
      <w:r w:rsidR="00F32C9D" w:rsidRPr="009E6A95">
        <w:rPr>
          <w:color w:val="262626" w:themeColor="text1" w:themeTint="D9"/>
        </w:rPr>
        <w:t xml:space="preserve">eights for survey control marks on the Australian mainland shall be referred to the Australian Height Datum 1971 (AHD71). </w:t>
      </w:r>
      <w:r w:rsidR="001B3BAE" w:rsidRPr="009E6A95">
        <w:rPr>
          <w:color w:val="262626" w:themeColor="text1" w:themeTint="D9"/>
        </w:rPr>
        <w:t>H</w:t>
      </w:r>
      <w:r w:rsidR="00F32C9D" w:rsidRPr="009E6A95">
        <w:rPr>
          <w:color w:val="262626" w:themeColor="text1" w:themeTint="D9"/>
        </w:rPr>
        <w:t xml:space="preserve">eights for survey control marks on </w:t>
      </w:r>
      <w:r w:rsidR="007B1421" w:rsidRPr="009E6A95">
        <w:rPr>
          <w:color w:val="262626" w:themeColor="text1" w:themeTint="D9"/>
        </w:rPr>
        <w:t xml:space="preserve">the </w:t>
      </w:r>
      <w:r w:rsidR="00F32C9D" w:rsidRPr="009E6A95">
        <w:rPr>
          <w:color w:val="262626" w:themeColor="text1" w:themeTint="D9"/>
        </w:rPr>
        <w:t>Tasmania</w:t>
      </w:r>
      <w:r w:rsidR="007B1421" w:rsidRPr="009E6A95">
        <w:rPr>
          <w:color w:val="262626" w:themeColor="text1" w:themeTint="D9"/>
        </w:rPr>
        <w:t>n mainland</w:t>
      </w:r>
      <w:r w:rsidR="00F32C9D" w:rsidRPr="009E6A95">
        <w:rPr>
          <w:color w:val="262626" w:themeColor="text1" w:themeTint="D9"/>
        </w:rPr>
        <w:t xml:space="preserve"> shall be referred to the Australian Height Datum (Tasmania) 1983 (AHD-TAS83). </w:t>
      </w:r>
    </w:p>
    <w:p w:rsidR="00977522" w:rsidRPr="009E6A95" w:rsidRDefault="00B314A0" w:rsidP="00F32C9D">
      <w:pPr>
        <w:rPr>
          <w:color w:val="262626" w:themeColor="text1" w:themeTint="D9"/>
        </w:rPr>
      </w:pPr>
      <w:r w:rsidRPr="009E6A95">
        <w:rPr>
          <w:color w:val="262626" w:themeColor="text1" w:themeTint="D9"/>
        </w:rPr>
        <w:t>ICSM recommends the use of AUSGeoid w</w:t>
      </w:r>
      <w:r w:rsidR="00977522" w:rsidRPr="009E6A95">
        <w:rPr>
          <w:color w:val="262626" w:themeColor="text1" w:themeTint="D9"/>
        </w:rPr>
        <w:t xml:space="preserve">hen converting between AHD heights and GDA94 </w:t>
      </w:r>
      <w:r w:rsidRPr="009E6A95">
        <w:rPr>
          <w:color w:val="262626" w:themeColor="text1" w:themeTint="D9"/>
        </w:rPr>
        <w:t>ellipsoid</w:t>
      </w:r>
      <w:r w:rsidR="007B2C80" w:rsidRPr="009E6A95">
        <w:rPr>
          <w:color w:val="262626" w:themeColor="text1" w:themeTint="D9"/>
        </w:rPr>
        <w:t>al</w:t>
      </w:r>
      <w:r w:rsidRPr="009E6A95">
        <w:rPr>
          <w:color w:val="262626" w:themeColor="text1" w:themeTint="D9"/>
        </w:rPr>
        <w:t xml:space="preserve"> </w:t>
      </w:r>
      <w:r w:rsidR="00977522" w:rsidRPr="009E6A95">
        <w:rPr>
          <w:color w:val="262626" w:themeColor="text1" w:themeTint="D9"/>
        </w:rPr>
        <w:t>heights.</w:t>
      </w:r>
    </w:p>
    <w:p w:rsidR="00F32C9D" w:rsidRPr="009E6A95" w:rsidRDefault="00F32C9D" w:rsidP="00F32C9D">
      <w:pPr>
        <w:rPr>
          <w:color w:val="262626" w:themeColor="text1" w:themeTint="D9"/>
        </w:rPr>
      </w:pPr>
      <w:r w:rsidRPr="009E6A95">
        <w:rPr>
          <w:color w:val="262626" w:themeColor="text1" w:themeTint="D9"/>
        </w:rPr>
        <w:t xml:space="preserve">In the absence of AHD survey control marks, heights for Australia's islands and External Territories shall be </w:t>
      </w:r>
      <w:r w:rsidR="00164972" w:rsidRPr="009E6A95">
        <w:rPr>
          <w:color w:val="262626" w:themeColor="text1" w:themeTint="D9"/>
        </w:rPr>
        <w:t xml:space="preserve">clearly </w:t>
      </w:r>
      <w:r w:rsidRPr="009E6A95">
        <w:rPr>
          <w:color w:val="262626" w:themeColor="text1" w:themeTint="D9"/>
        </w:rPr>
        <w:t>specified to refer to at least one of the following:</w:t>
      </w:r>
    </w:p>
    <w:p w:rsidR="000F32C8" w:rsidRPr="009E6A95" w:rsidRDefault="00D1411F" w:rsidP="00D1411F">
      <w:pPr>
        <w:pStyle w:val="Itemisedlist1"/>
        <w:numPr>
          <w:ilvl w:val="0"/>
          <w:numId w:val="19"/>
        </w:numPr>
        <w:jc w:val="left"/>
        <w:rPr>
          <w:color w:val="262626" w:themeColor="text1" w:themeTint="D9"/>
        </w:rPr>
      </w:pPr>
      <w:r>
        <w:rPr>
          <w:color w:val="262626" w:themeColor="text1" w:themeTint="D9"/>
        </w:rPr>
        <w:t>a</w:t>
      </w:r>
      <w:r w:rsidR="000F32C8" w:rsidRPr="009E6A95">
        <w:rPr>
          <w:color w:val="262626" w:themeColor="text1" w:themeTint="D9"/>
        </w:rPr>
        <w:t xml:space="preserve"> locally recognised height datum</w:t>
      </w:r>
      <w:r w:rsidR="007770EB">
        <w:rPr>
          <w:color w:val="262626" w:themeColor="text1" w:themeTint="D9"/>
        </w:rPr>
        <w:t>;</w:t>
      </w:r>
    </w:p>
    <w:p w:rsidR="00F32C9D" w:rsidRPr="009E6A95" w:rsidRDefault="00D1411F" w:rsidP="00D1411F">
      <w:pPr>
        <w:pStyle w:val="Itemisedlist1"/>
        <w:numPr>
          <w:ilvl w:val="0"/>
          <w:numId w:val="19"/>
        </w:numPr>
        <w:jc w:val="left"/>
        <w:rPr>
          <w:color w:val="262626" w:themeColor="text1" w:themeTint="D9"/>
        </w:rPr>
      </w:pPr>
      <w:r>
        <w:rPr>
          <w:color w:val="262626" w:themeColor="text1" w:themeTint="D9"/>
        </w:rPr>
        <w:t>l</w:t>
      </w:r>
      <w:r w:rsidR="00F32C9D" w:rsidRPr="009E6A95">
        <w:rPr>
          <w:color w:val="262626" w:themeColor="text1" w:themeTint="D9"/>
        </w:rPr>
        <w:t>ocally-</w:t>
      </w:r>
      <w:r w:rsidR="00913DC6" w:rsidRPr="009E6A95">
        <w:rPr>
          <w:color w:val="262626" w:themeColor="text1" w:themeTint="D9"/>
        </w:rPr>
        <w:t>determined Mean Sea Level (MSL)</w:t>
      </w:r>
      <w:r w:rsidR="007770EB">
        <w:rPr>
          <w:color w:val="262626" w:themeColor="text1" w:themeTint="D9"/>
        </w:rPr>
        <w:t>; or</w:t>
      </w:r>
    </w:p>
    <w:p w:rsidR="00F32C9D" w:rsidRPr="009E6A95" w:rsidRDefault="00FC0C66" w:rsidP="00D1411F">
      <w:pPr>
        <w:pStyle w:val="Itemisedlist1"/>
        <w:numPr>
          <w:ilvl w:val="0"/>
          <w:numId w:val="19"/>
        </w:numPr>
        <w:jc w:val="left"/>
        <w:rPr>
          <w:color w:val="262626" w:themeColor="text1" w:themeTint="D9"/>
        </w:rPr>
      </w:pPr>
      <w:r w:rsidRPr="009E6A95">
        <w:rPr>
          <w:color w:val="262626" w:themeColor="text1" w:themeTint="D9"/>
        </w:rPr>
        <w:t>“</w:t>
      </w:r>
      <w:r w:rsidR="000F32C8" w:rsidRPr="009E6A95">
        <w:rPr>
          <w:color w:val="262626" w:themeColor="text1" w:themeTint="D9"/>
        </w:rPr>
        <w:t>D</w:t>
      </w:r>
      <w:r w:rsidR="00F32C9D" w:rsidRPr="009E6A95">
        <w:rPr>
          <w:color w:val="262626" w:themeColor="text1" w:themeTint="D9"/>
        </w:rPr>
        <w:t>erived AHD</w:t>
      </w:r>
      <w:r w:rsidRPr="009E6A95">
        <w:rPr>
          <w:color w:val="262626" w:themeColor="text1" w:themeTint="D9"/>
        </w:rPr>
        <w:t>”</w:t>
      </w:r>
      <w:r w:rsidR="00F32C9D" w:rsidRPr="009E6A95">
        <w:rPr>
          <w:color w:val="262626" w:themeColor="text1" w:themeTint="D9"/>
        </w:rPr>
        <w:t xml:space="preserve"> using </w:t>
      </w:r>
      <w:r w:rsidR="00977522" w:rsidRPr="009E6A95">
        <w:rPr>
          <w:color w:val="262626" w:themeColor="text1" w:themeTint="D9"/>
        </w:rPr>
        <w:t xml:space="preserve">AUSGeoid or </w:t>
      </w:r>
      <w:r w:rsidR="00F32C9D" w:rsidRPr="009E6A95">
        <w:rPr>
          <w:color w:val="262626" w:themeColor="text1" w:themeTint="D9"/>
        </w:rPr>
        <w:t xml:space="preserve">an </w:t>
      </w:r>
      <w:r w:rsidR="00431C57" w:rsidRPr="009E6A95">
        <w:rPr>
          <w:color w:val="262626" w:themeColor="text1" w:themeTint="D9"/>
        </w:rPr>
        <w:t xml:space="preserve">equivalent </w:t>
      </w:r>
      <w:r w:rsidR="00F32C9D" w:rsidRPr="009E6A95">
        <w:rPr>
          <w:color w:val="262626" w:themeColor="text1" w:themeTint="D9"/>
        </w:rPr>
        <w:t>geoid</w:t>
      </w:r>
      <w:r w:rsidR="00285A91" w:rsidRPr="009E6A95">
        <w:rPr>
          <w:color w:val="262626" w:themeColor="text1" w:themeTint="D9"/>
        </w:rPr>
        <w:t xml:space="preserve"> (or quasi-geoid)</w:t>
      </w:r>
      <w:r w:rsidR="00F32C9D" w:rsidRPr="009E6A95">
        <w:rPr>
          <w:color w:val="262626" w:themeColor="text1" w:themeTint="D9"/>
        </w:rPr>
        <w:t xml:space="preserve"> model and either a differential GNSS connection to </w:t>
      </w:r>
      <w:r w:rsidR="00913DC6" w:rsidRPr="009E6A95">
        <w:rPr>
          <w:color w:val="262626" w:themeColor="text1" w:themeTint="D9"/>
        </w:rPr>
        <w:t>AHD, MSL or ellipsoidal height</w:t>
      </w:r>
      <w:r w:rsidR="00F4519F" w:rsidRPr="009E6A95">
        <w:rPr>
          <w:color w:val="262626" w:themeColor="text1" w:themeTint="D9"/>
        </w:rPr>
        <w:t>.</w:t>
      </w:r>
    </w:p>
    <w:p w:rsidR="000C4A0F" w:rsidRPr="009E6A95" w:rsidRDefault="000C4A0F">
      <w:pPr>
        <w:spacing w:before="0" w:after="0"/>
        <w:jc w:val="left"/>
        <w:rPr>
          <w:rFonts w:ascii="Verdana" w:hAnsi="Verdana"/>
          <w:b/>
          <w:color w:val="262626" w:themeColor="text1" w:themeTint="D9"/>
          <w:sz w:val="30"/>
          <w:szCs w:val="30"/>
          <w:lang w:eastAsia="en-US"/>
        </w:rPr>
      </w:pPr>
      <w:r w:rsidRPr="009E6A95">
        <w:rPr>
          <w:color w:val="262626" w:themeColor="text1" w:themeTint="D9"/>
        </w:rPr>
        <w:br w:type="page"/>
      </w:r>
    </w:p>
    <w:p w:rsidR="00F32C9D" w:rsidRPr="00BA4555" w:rsidRDefault="00F32C9D" w:rsidP="00F32C9D">
      <w:pPr>
        <w:pStyle w:val="Heading1"/>
        <w:rPr>
          <w:color w:val="4F6228" w:themeColor="accent3" w:themeShade="80"/>
        </w:rPr>
      </w:pPr>
      <w:bookmarkStart w:id="56" w:name="_Toc399489509"/>
      <w:r w:rsidRPr="00BA4555">
        <w:rPr>
          <w:color w:val="4F6228" w:themeColor="accent3" w:themeShade="80"/>
        </w:rPr>
        <w:t>Conducting control surveys</w:t>
      </w:r>
      <w:bookmarkEnd w:id="56"/>
    </w:p>
    <w:p w:rsidR="00F32C9D" w:rsidRPr="009E6A95" w:rsidRDefault="00F32C9D" w:rsidP="00F32C9D">
      <w:pPr>
        <w:rPr>
          <w:color w:val="262626" w:themeColor="text1" w:themeTint="D9"/>
        </w:rPr>
      </w:pPr>
      <w:r w:rsidRPr="009E6A95">
        <w:rPr>
          <w:color w:val="262626" w:themeColor="text1" w:themeTint="D9"/>
        </w:rPr>
        <w:t xml:space="preserve">When observing a survey control </w:t>
      </w:r>
      <w:r w:rsidR="00363EB2" w:rsidRPr="009E6A95">
        <w:rPr>
          <w:color w:val="262626" w:themeColor="text1" w:themeTint="D9"/>
        </w:rPr>
        <w:t xml:space="preserve">mark </w:t>
      </w:r>
      <w:r w:rsidRPr="009E6A95">
        <w:rPr>
          <w:color w:val="262626" w:themeColor="text1" w:themeTint="D9"/>
        </w:rPr>
        <w:t xml:space="preserve">network there are a variety of measurement and processing techniques available to the surveyor. The surveyor </w:t>
      </w:r>
      <w:r w:rsidR="00AF365A" w:rsidRPr="009E6A95">
        <w:rPr>
          <w:color w:val="262626" w:themeColor="text1" w:themeTint="D9"/>
        </w:rPr>
        <w:t xml:space="preserve">shall </w:t>
      </w:r>
      <w:r w:rsidRPr="009E6A95">
        <w:rPr>
          <w:color w:val="262626" w:themeColor="text1" w:themeTint="D9"/>
        </w:rPr>
        <w:t>select the</w:t>
      </w:r>
      <w:r w:rsidR="00342E53" w:rsidRPr="009E6A95">
        <w:rPr>
          <w:color w:val="262626" w:themeColor="text1" w:themeTint="D9"/>
        </w:rPr>
        <w:t xml:space="preserve"> equipment and</w:t>
      </w:r>
      <w:r w:rsidRPr="009E6A95">
        <w:rPr>
          <w:color w:val="262626" w:themeColor="text1" w:themeTint="D9"/>
        </w:rPr>
        <w:t xml:space="preserve"> techniques which best suit the requirements of the project, keeping in mind the limitations of each technique. The survey </w:t>
      </w:r>
      <w:r w:rsidR="00A87196" w:rsidRPr="009E6A95">
        <w:rPr>
          <w:color w:val="262626" w:themeColor="text1" w:themeTint="D9"/>
        </w:rPr>
        <w:t xml:space="preserve">control </w:t>
      </w:r>
      <w:r w:rsidR="001F7C7C">
        <w:rPr>
          <w:color w:val="262626" w:themeColor="text1" w:themeTint="D9"/>
        </w:rPr>
        <w:t>Guideline</w:t>
      </w:r>
      <w:r w:rsidR="00A87196" w:rsidRPr="009E6A95">
        <w:rPr>
          <w:color w:val="262626" w:themeColor="text1" w:themeTint="D9"/>
        </w:rPr>
        <w:t xml:space="preserve">s </w:t>
      </w:r>
      <w:r w:rsidR="007F565B" w:rsidRPr="009E6A95">
        <w:rPr>
          <w:color w:val="262626" w:themeColor="text1" w:themeTint="D9"/>
        </w:rPr>
        <w:t xml:space="preserve">associated with this version of the Standard </w:t>
      </w:r>
      <w:r w:rsidR="00993931" w:rsidRPr="009E6A95">
        <w:rPr>
          <w:color w:val="262626" w:themeColor="text1" w:themeTint="D9"/>
        </w:rPr>
        <w:t>(see</w:t>
      </w:r>
      <w:r w:rsidR="00AE20CE" w:rsidRPr="009E6A95">
        <w:rPr>
          <w:color w:val="262626" w:themeColor="text1" w:themeTint="D9"/>
        </w:rPr>
        <w:t xml:space="preserve"> </w:t>
      </w:r>
      <w:r w:rsidR="009427A2" w:rsidRPr="009E6A95">
        <w:rPr>
          <w:color w:val="262626" w:themeColor="text1" w:themeTint="D9"/>
        </w:rPr>
        <w:t xml:space="preserve">Section </w:t>
      </w:r>
      <w:r w:rsidR="009427A2" w:rsidRPr="009E6A95">
        <w:rPr>
          <w:color w:val="262626" w:themeColor="text1" w:themeTint="D9"/>
        </w:rPr>
        <w:fldChar w:fldCharType="begin"/>
      </w:r>
      <w:r w:rsidR="009427A2" w:rsidRPr="009E6A95">
        <w:rPr>
          <w:color w:val="262626" w:themeColor="text1" w:themeTint="D9"/>
        </w:rPr>
        <w:instrText xml:space="preserve"> REF _Ref320620355 \r \h </w:instrText>
      </w:r>
      <w:r w:rsidR="009427A2" w:rsidRPr="009E6A95">
        <w:rPr>
          <w:color w:val="262626" w:themeColor="text1" w:themeTint="D9"/>
        </w:rPr>
      </w:r>
      <w:r w:rsidR="009427A2" w:rsidRPr="009E6A95">
        <w:rPr>
          <w:color w:val="262626" w:themeColor="text1" w:themeTint="D9"/>
        </w:rPr>
        <w:fldChar w:fldCharType="separate"/>
      </w:r>
      <w:r w:rsidR="006F246B">
        <w:rPr>
          <w:color w:val="262626" w:themeColor="text1" w:themeTint="D9"/>
        </w:rPr>
        <w:t>1.4</w:t>
      </w:r>
      <w:r w:rsidR="009427A2" w:rsidRPr="009E6A95">
        <w:rPr>
          <w:color w:val="262626" w:themeColor="text1" w:themeTint="D9"/>
        </w:rPr>
        <w:fldChar w:fldCharType="end"/>
      </w:r>
      <w:r w:rsidR="00993931" w:rsidRPr="009E6A95">
        <w:rPr>
          <w:color w:val="262626" w:themeColor="text1" w:themeTint="D9"/>
        </w:rPr>
        <w:t>) outline the recommended</w:t>
      </w:r>
      <w:r w:rsidR="00332EB7" w:rsidRPr="009E6A95">
        <w:rPr>
          <w:color w:val="262626" w:themeColor="text1" w:themeTint="D9"/>
        </w:rPr>
        <w:t xml:space="preserve"> </w:t>
      </w:r>
      <w:r w:rsidR="00993931" w:rsidRPr="009E6A95">
        <w:rPr>
          <w:color w:val="262626" w:themeColor="text1" w:themeTint="D9"/>
        </w:rPr>
        <w:t xml:space="preserve">survey practices to achieve </w:t>
      </w:r>
      <w:r w:rsidR="00332EB7" w:rsidRPr="009E6A95">
        <w:rPr>
          <w:color w:val="262626" w:themeColor="text1" w:themeTint="D9"/>
        </w:rPr>
        <w:t xml:space="preserve">required </w:t>
      </w:r>
      <w:r w:rsidR="00993931" w:rsidRPr="009E6A95">
        <w:rPr>
          <w:color w:val="262626" w:themeColor="text1" w:themeTint="D9"/>
        </w:rPr>
        <w:t>levels of uncertainty</w:t>
      </w:r>
      <w:r w:rsidRPr="009E6A95">
        <w:rPr>
          <w:color w:val="262626" w:themeColor="text1" w:themeTint="D9"/>
        </w:rPr>
        <w:t>.</w:t>
      </w:r>
      <w:r w:rsidR="003742FE" w:rsidRPr="009E6A95">
        <w:rPr>
          <w:color w:val="262626" w:themeColor="text1" w:themeTint="D9"/>
        </w:rPr>
        <w:t xml:space="preserve"> </w:t>
      </w:r>
    </w:p>
    <w:p w:rsidR="00CC38BB" w:rsidRPr="009E6A95" w:rsidRDefault="00CC38BB" w:rsidP="00352EE4">
      <w:pPr>
        <w:rPr>
          <w:color w:val="262626" w:themeColor="text1" w:themeTint="D9"/>
        </w:rPr>
      </w:pPr>
    </w:p>
    <w:p w:rsidR="00F32C9D" w:rsidRPr="00BA4555" w:rsidRDefault="00F32C9D" w:rsidP="00F32C9D">
      <w:pPr>
        <w:pStyle w:val="Heading1"/>
        <w:rPr>
          <w:color w:val="4F6228" w:themeColor="accent3" w:themeShade="80"/>
        </w:rPr>
      </w:pPr>
      <w:bookmarkStart w:id="57" w:name="_Toc399489510"/>
      <w:r w:rsidRPr="00BA4555">
        <w:rPr>
          <w:color w:val="4F6228" w:themeColor="accent3" w:themeShade="80"/>
        </w:rPr>
        <w:t>Quantifying survey quality</w:t>
      </w:r>
      <w:bookmarkEnd w:id="57"/>
    </w:p>
    <w:p w:rsidR="00F32C9D" w:rsidRPr="009E6A95" w:rsidRDefault="00F32C9D" w:rsidP="00F32C9D">
      <w:pPr>
        <w:rPr>
          <w:color w:val="262626" w:themeColor="text1" w:themeTint="D9"/>
        </w:rPr>
      </w:pPr>
      <w:r w:rsidRPr="009E6A95">
        <w:rPr>
          <w:color w:val="262626" w:themeColor="text1" w:themeTint="D9"/>
        </w:rPr>
        <w:t>The quality of</w:t>
      </w:r>
      <w:r w:rsidR="00E414F1" w:rsidRPr="009E6A95">
        <w:rPr>
          <w:color w:val="262626" w:themeColor="text1" w:themeTint="D9"/>
        </w:rPr>
        <w:t xml:space="preserve"> a control survey </w:t>
      </w:r>
      <w:r w:rsidRPr="009E6A95">
        <w:rPr>
          <w:color w:val="262626" w:themeColor="text1" w:themeTint="D9"/>
        </w:rPr>
        <w:t>shall be quantified in terms of</w:t>
      </w:r>
      <w:r w:rsidR="003C6FFF" w:rsidRPr="009E6A95">
        <w:rPr>
          <w:color w:val="262626" w:themeColor="text1" w:themeTint="D9"/>
        </w:rPr>
        <w:t xml:space="preserve"> uncertainty. </w:t>
      </w:r>
      <w:r w:rsidR="009F40D6" w:rsidRPr="009E6A95">
        <w:rPr>
          <w:color w:val="262626" w:themeColor="text1" w:themeTint="D9"/>
        </w:rPr>
        <w:t xml:space="preserve">When </w:t>
      </w:r>
      <w:r w:rsidR="0004225C" w:rsidRPr="009E6A95">
        <w:rPr>
          <w:color w:val="262626" w:themeColor="text1" w:themeTint="D9"/>
        </w:rPr>
        <w:t>quantifying</w:t>
      </w:r>
      <w:r w:rsidR="009F40D6" w:rsidRPr="009E6A95">
        <w:rPr>
          <w:color w:val="262626" w:themeColor="text1" w:themeTint="D9"/>
        </w:rPr>
        <w:t xml:space="preserve"> survey </w:t>
      </w:r>
      <w:r w:rsidR="0004225C" w:rsidRPr="009E6A95">
        <w:rPr>
          <w:color w:val="262626" w:themeColor="text1" w:themeTint="D9"/>
        </w:rPr>
        <w:t>quality</w:t>
      </w:r>
      <w:r w:rsidR="009F40D6" w:rsidRPr="009E6A95">
        <w:rPr>
          <w:color w:val="262626" w:themeColor="text1" w:themeTint="D9"/>
        </w:rPr>
        <w:t>, t</w:t>
      </w:r>
      <w:r w:rsidR="003C6FFF" w:rsidRPr="009E6A95">
        <w:rPr>
          <w:color w:val="262626" w:themeColor="text1" w:themeTint="D9"/>
        </w:rPr>
        <w:t xml:space="preserve">he following </w:t>
      </w:r>
      <w:r w:rsidR="004D1491" w:rsidRPr="009E6A95">
        <w:rPr>
          <w:color w:val="262626" w:themeColor="text1" w:themeTint="D9"/>
        </w:rPr>
        <w:t xml:space="preserve">uncertainty </w:t>
      </w:r>
      <w:r w:rsidR="00355FBB" w:rsidRPr="009E6A95">
        <w:rPr>
          <w:color w:val="262626" w:themeColor="text1" w:themeTint="D9"/>
        </w:rPr>
        <w:t>categories</w:t>
      </w:r>
      <w:r w:rsidR="003C6FFF" w:rsidRPr="009E6A95">
        <w:rPr>
          <w:color w:val="262626" w:themeColor="text1" w:themeTint="D9"/>
        </w:rPr>
        <w:t xml:space="preserve"> </w:t>
      </w:r>
      <w:r w:rsidR="00E663CD" w:rsidRPr="009E6A95">
        <w:rPr>
          <w:color w:val="262626" w:themeColor="text1" w:themeTint="D9"/>
        </w:rPr>
        <w:t xml:space="preserve">shall </w:t>
      </w:r>
      <w:r w:rsidR="00A7516A" w:rsidRPr="009E6A95">
        <w:rPr>
          <w:color w:val="262626" w:themeColor="text1" w:themeTint="D9"/>
        </w:rPr>
        <w:t>apply</w:t>
      </w:r>
      <w:r w:rsidR="003C6FFF" w:rsidRPr="009E6A95">
        <w:rPr>
          <w:color w:val="262626" w:themeColor="text1" w:themeTint="D9"/>
        </w:rPr>
        <w:t>:</w:t>
      </w:r>
    </w:p>
    <w:p w:rsidR="00754CE9" w:rsidRPr="009E6A95" w:rsidRDefault="003C6FFF" w:rsidP="00754CE9">
      <w:pPr>
        <w:rPr>
          <w:color w:val="262626" w:themeColor="text1" w:themeTint="D9"/>
        </w:rPr>
      </w:pPr>
      <w:r w:rsidRPr="009E6A95">
        <w:rPr>
          <w:b/>
          <w:color w:val="262626" w:themeColor="text1" w:themeTint="D9"/>
        </w:rPr>
        <w:t>Survey Uncertainty (</w:t>
      </w:r>
      <w:r w:rsidR="00754CE9" w:rsidRPr="009E6A95">
        <w:rPr>
          <w:b/>
          <w:color w:val="262626" w:themeColor="text1" w:themeTint="D9"/>
        </w:rPr>
        <w:t>SU</w:t>
      </w:r>
      <w:r w:rsidRPr="009E6A95">
        <w:rPr>
          <w:b/>
          <w:color w:val="262626" w:themeColor="text1" w:themeTint="D9"/>
        </w:rPr>
        <w:t>)</w:t>
      </w:r>
      <w:r w:rsidR="00754CE9" w:rsidRPr="009E6A95">
        <w:rPr>
          <w:color w:val="262626" w:themeColor="text1" w:themeTint="D9"/>
        </w:rPr>
        <w:t xml:space="preserve"> is the uncertainty of the horizontal and/or vertical coordinates of a survey control mark</w:t>
      </w:r>
      <w:r w:rsidR="005C1F50" w:rsidRPr="009E6A95">
        <w:rPr>
          <w:color w:val="262626" w:themeColor="text1" w:themeTint="D9"/>
        </w:rPr>
        <w:t xml:space="preserve"> </w:t>
      </w:r>
      <w:r w:rsidR="00D631D9" w:rsidRPr="009E6A95">
        <w:rPr>
          <w:color w:val="262626" w:themeColor="text1" w:themeTint="D9"/>
        </w:rPr>
        <w:t xml:space="preserve">relative to the survey in which it was observed </w:t>
      </w:r>
      <w:r w:rsidR="00617293" w:rsidRPr="009E6A95">
        <w:rPr>
          <w:color w:val="262626" w:themeColor="text1" w:themeTint="D9"/>
        </w:rPr>
        <w:t xml:space="preserve">and is </w:t>
      </w:r>
      <w:r w:rsidR="00754CE9" w:rsidRPr="009E6A95">
        <w:rPr>
          <w:color w:val="262626" w:themeColor="text1" w:themeTint="D9"/>
        </w:rPr>
        <w:t>free from the influence of any imprecision or inaccuracy in the underlying datum</w:t>
      </w:r>
      <w:r w:rsidR="00580028">
        <w:rPr>
          <w:color w:val="262626" w:themeColor="text1" w:themeTint="D9"/>
        </w:rPr>
        <w:t xml:space="preserve"> realisation</w:t>
      </w:r>
      <w:r w:rsidR="00173D49" w:rsidRPr="009E6A95">
        <w:rPr>
          <w:color w:val="262626" w:themeColor="text1" w:themeTint="D9"/>
        </w:rPr>
        <w:t>.</w:t>
      </w:r>
      <w:r w:rsidR="00754CE9" w:rsidRPr="009E6A95">
        <w:rPr>
          <w:color w:val="262626" w:themeColor="text1" w:themeTint="D9"/>
        </w:rPr>
        <w:t xml:space="preserve"> </w:t>
      </w:r>
      <w:r w:rsidR="00173D49" w:rsidRPr="009E6A95">
        <w:rPr>
          <w:color w:val="262626" w:themeColor="text1" w:themeTint="D9"/>
        </w:rPr>
        <w:t>T</w:t>
      </w:r>
      <w:r w:rsidR="00754CE9" w:rsidRPr="009E6A95">
        <w:rPr>
          <w:color w:val="262626" w:themeColor="text1" w:themeTint="D9"/>
        </w:rPr>
        <w:t>herefore</w:t>
      </w:r>
      <w:r w:rsidR="00482DA4" w:rsidRPr="009E6A95">
        <w:rPr>
          <w:color w:val="262626" w:themeColor="text1" w:themeTint="D9"/>
        </w:rPr>
        <w:t>,</w:t>
      </w:r>
      <w:r w:rsidR="00754CE9" w:rsidRPr="009E6A95">
        <w:rPr>
          <w:color w:val="262626" w:themeColor="text1" w:themeTint="D9"/>
        </w:rPr>
        <w:t xml:space="preserve"> </w:t>
      </w:r>
      <w:r w:rsidR="00173D49" w:rsidRPr="009E6A95">
        <w:rPr>
          <w:color w:val="262626" w:themeColor="text1" w:themeTint="D9"/>
        </w:rPr>
        <w:t xml:space="preserve">SU </w:t>
      </w:r>
      <w:r w:rsidR="00754CE9" w:rsidRPr="009E6A95">
        <w:rPr>
          <w:color w:val="262626" w:themeColor="text1" w:themeTint="D9"/>
        </w:rPr>
        <w:t>reflects only the uncertainty resulting from survey measurement</w:t>
      </w:r>
      <w:r w:rsidR="00D02E51" w:rsidRPr="009E6A95">
        <w:rPr>
          <w:color w:val="262626" w:themeColor="text1" w:themeTint="D9"/>
        </w:rPr>
        <w:t>s</w:t>
      </w:r>
      <w:r w:rsidR="00754CE9" w:rsidRPr="009E6A95">
        <w:rPr>
          <w:color w:val="262626" w:themeColor="text1" w:themeTint="D9"/>
        </w:rPr>
        <w:t>, measurement precision</w:t>
      </w:r>
      <w:r w:rsidR="00D02E51" w:rsidRPr="009E6A95">
        <w:rPr>
          <w:color w:val="262626" w:themeColor="text1" w:themeTint="D9"/>
        </w:rPr>
        <w:t>s</w:t>
      </w:r>
      <w:r w:rsidR="001358F2" w:rsidRPr="009E6A95">
        <w:rPr>
          <w:color w:val="262626" w:themeColor="text1" w:themeTint="D9"/>
        </w:rPr>
        <w:t>,</w:t>
      </w:r>
      <w:r w:rsidR="00754CE9" w:rsidRPr="009E6A95">
        <w:rPr>
          <w:color w:val="262626" w:themeColor="text1" w:themeTint="D9"/>
        </w:rPr>
        <w:t xml:space="preserve"> network geometry</w:t>
      </w:r>
      <w:r w:rsidR="001358F2" w:rsidRPr="009E6A95">
        <w:rPr>
          <w:color w:val="262626" w:themeColor="text1" w:themeTint="D9"/>
        </w:rPr>
        <w:t xml:space="preserve"> and the choice of constraint</w:t>
      </w:r>
      <w:r w:rsidR="00754CE9" w:rsidRPr="009E6A95">
        <w:rPr>
          <w:color w:val="262626" w:themeColor="text1" w:themeTint="D9"/>
        </w:rPr>
        <w:t xml:space="preserve">. A minimally constrained least squares adjustment is the preferred and most rigorous way to </w:t>
      </w:r>
      <w:r w:rsidR="00AA19E7" w:rsidRPr="009E6A95">
        <w:rPr>
          <w:color w:val="262626" w:themeColor="text1" w:themeTint="D9"/>
        </w:rPr>
        <w:t>estimate</w:t>
      </w:r>
      <w:r w:rsidR="00754CE9" w:rsidRPr="009E6A95">
        <w:rPr>
          <w:color w:val="262626" w:themeColor="text1" w:themeTint="D9"/>
        </w:rPr>
        <w:t xml:space="preserve"> and test SU</w:t>
      </w:r>
      <w:r w:rsidR="006B2732" w:rsidRPr="009E6A95">
        <w:rPr>
          <w:color w:val="262626" w:themeColor="text1" w:themeTint="D9"/>
        </w:rPr>
        <w:t>.</w:t>
      </w:r>
      <w:r w:rsidR="00D631D9" w:rsidRPr="009E6A95">
        <w:rPr>
          <w:color w:val="262626" w:themeColor="text1" w:themeTint="D9"/>
        </w:rPr>
        <w:t xml:space="preserve"> </w:t>
      </w:r>
      <w:r w:rsidR="00222A0E" w:rsidRPr="009E6A95">
        <w:rPr>
          <w:color w:val="262626" w:themeColor="text1" w:themeTint="D9"/>
        </w:rPr>
        <w:t>SU</w:t>
      </w:r>
      <w:r w:rsidR="00D631D9" w:rsidRPr="009E6A95">
        <w:rPr>
          <w:color w:val="262626" w:themeColor="text1" w:themeTint="D9"/>
        </w:rPr>
        <w:t xml:space="preserve"> is expressed in </w:t>
      </w:r>
      <w:r w:rsidR="00C67BD2" w:rsidRPr="009E6A95">
        <w:rPr>
          <w:color w:val="262626" w:themeColor="text1" w:themeTint="D9"/>
        </w:rPr>
        <w:t>SI units at the 95% confidence level</w:t>
      </w:r>
      <w:r w:rsidR="007F0D1F" w:rsidRPr="009E6A95">
        <w:rPr>
          <w:color w:val="262626" w:themeColor="text1" w:themeTint="D9"/>
        </w:rPr>
        <w:t>.</w:t>
      </w:r>
    </w:p>
    <w:p w:rsidR="00754CE9" w:rsidRPr="009E6A95" w:rsidRDefault="003C6FFF" w:rsidP="00F32C9D">
      <w:pPr>
        <w:rPr>
          <w:color w:val="262626" w:themeColor="text1" w:themeTint="D9"/>
        </w:rPr>
      </w:pPr>
      <w:r w:rsidRPr="009E6A95">
        <w:rPr>
          <w:b/>
          <w:color w:val="262626" w:themeColor="text1" w:themeTint="D9"/>
        </w:rPr>
        <w:t>Positional Uncertainty (</w:t>
      </w:r>
      <w:r w:rsidR="00754CE9" w:rsidRPr="009E6A95">
        <w:rPr>
          <w:b/>
          <w:color w:val="262626" w:themeColor="text1" w:themeTint="D9"/>
        </w:rPr>
        <w:t>PU</w:t>
      </w:r>
      <w:r w:rsidRPr="009E6A95">
        <w:rPr>
          <w:b/>
          <w:color w:val="262626" w:themeColor="text1" w:themeTint="D9"/>
        </w:rPr>
        <w:t>)</w:t>
      </w:r>
      <w:r w:rsidR="00754CE9" w:rsidRPr="009E6A95">
        <w:rPr>
          <w:color w:val="262626" w:themeColor="text1" w:themeTint="D9"/>
        </w:rPr>
        <w:t xml:space="preserve"> is the uncertainty of the horizontal and/or vertical coordinates of a survey control mark with respect to the defined </w:t>
      </w:r>
      <w:r w:rsidR="006A10EE">
        <w:rPr>
          <w:color w:val="262626" w:themeColor="text1" w:themeTint="D9"/>
        </w:rPr>
        <w:t>datum</w:t>
      </w:r>
      <w:r w:rsidR="00754CE9" w:rsidRPr="009E6A95">
        <w:rPr>
          <w:color w:val="262626" w:themeColor="text1" w:themeTint="D9"/>
        </w:rPr>
        <w:t xml:space="preserve"> and represents the combined uncertainty of the </w:t>
      </w:r>
      <w:r w:rsidR="000F7F17" w:rsidRPr="009E6A95">
        <w:rPr>
          <w:color w:val="262626" w:themeColor="text1" w:themeTint="D9"/>
        </w:rPr>
        <w:t xml:space="preserve">existing </w:t>
      </w:r>
      <w:r w:rsidR="00754CE9" w:rsidRPr="009E6A95">
        <w:rPr>
          <w:color w:val="262626" w:themeColor="text1" w:themeTint="D9"/>
        </w:rPr>
        <w:t xml:space="preserve">datum </w:t>
      </w:r>
      <w:r w:rsidR="006A10EE">
        <w:rPr>
          <w:color w:val="262626" w:themeColor="text1" w:themeTint="D9"/>
        </w:rPr>
        <w:t xml:space="preserve">realisation </w:t>
      </w:r>
      <w:r w:rsidR="00754CE9" w:rsidRPr="009E6A95">
        <w:rPr>
          <w:color w:val="262626" w:themeColor="text1" w:themeTint="D9"/>
        </w:rPr>
        <w:t xml:space="preserve">and the </w:t>
      </w:r>
      <w:r w:rsidR="006A10EE">
        <w:rPr>
          <w:color w:val="262626" w:themeColor="text1" w:themeTint="D9"/>
        </w:rPr>
        <w:t xml:space="preserve">new </w:t>
      </w:r>
      <w:r w:rsidR="0098135E" w:rsidRPr="009E6A95">
        <w:rPr>
          <w:color w:val="262626" w:themeColor="text1" w:themeTint="D9"/>
        </w:rPr>
        <w:t>control</w:t>
      </w:r>
      <w:r w:rsidR="000F7F17" w:rsidRPr="009E6A95">
        <w:rPr>
          <w:color w:val="262626" w:themeColor="text1" w:themeTint="D9"/>
        </w:rPr>
        <w:t xml:space="preserve"> </w:t>
      </w:r>
      <w:r w:rsidR="00754CE9" w:rsidRPr="009E6A95">
        <w:rPr>
          <w:color w:val="262626" w:themeColor="text1" w:themeTint="D9"/>
        </w:rPr>
        <w:t xml:space="preserve">survey. </w:t>
      </w:r>
      <w:r w:rsidR="000F7F17" w:rsidRPr="009E6A95">
        <w:rPr>
          <w:color w:val="262626" w:themeColor="text1" w:themeTint="D9"/>
        </w:rPr>
        <w:t xml:space="preserve">That is, </w:t>
      </w:r>
      <w:r w:rsidR="00754CE9" w:rsidRPr="009E6A95">
        <w:rPr>
          <w:color w:val="262626" w:themeColor="text1" w:themeTint="D9"/>
        </w:rPr>
        <w:t xml:space="preserve">PU includes SU as well as the uncertainty of the </w:t>
      </w:r>
      <w:r w:rsidR="006A10EE">
        <w:rPr>
          <w:color w:val="262626" w:themeColor="text1" w:themeTint="D9"/>
        </w:rPr>
        <w:t>existing survey control marks</w:t>
      </w:r>
      <w:r w:rsidR="006A10EE" w:rsidRPr="009E6A95">
        <w:rPr>
          <w:color w:val="262626" w:themeColor="text1" w:themeTint="D9"/>
        </w:rPr>
        <w:t xml:space="preserve"> </w:t>
      </w:r>
      <w:r w:rsidR="00754CE9" w:rsidRPr="009E6A95">
        <w:rPr>
          <w:color w:val="262626" w:themeColor="text1" w:themeTint="D9"/>
        </w:rPr>
        <w:t xml:space="preserve">to which a </w:t>
      </w:r>
      <w:r w:rsidR="006A10EE">
        <w:rPr>
          <w:color w:val="262626" w:themeColor="text1" w:themeTint="D9"/>
        </w:rPr>
        <w:t xml:space="preserve">new control </w:t>
      </w:r>
      <w:r w:rsidR="00754CE9" w:rsidRPr="009E6A95">
        <w:rPr>
          <w:color w:val="262626" w:themeColor="text1" w:themeTint="D9"/>
        </w:rPr>
        <w:t xml:space="preserve">survey is connected. A fully constrained least squares adjustment is the preferred and most rigorous way to </w:t>
      </w:r>
      <w:r w:rsidR="00AA19E7" w:rsidRPr="009E6A95">
        <w:rPr>
          <w:color w:val="262626" w:themeColor="text1" w:themeTint="D9"/>
        </w:rPr>
        <w:t>estimate</w:t>
      </w:r>
      <w:r w:rsidR="00754CE9" w:rsidRPr="009E6A95">
        <w:rPr>
          <w:color w:val="262626" w:themeColor="text1" w:themeTint="D9"/>
        </w:rPr>
        <w:t xml:space="preserve"> and test PU. </w:t>
      </w:r>
      <w:r w:rsidR="00222A0E" w:rsidRPr="009E6A95">
        <w:rPr>
          <w:color w:val="262626" w:themeColor="text1" w:themeTint="D9"/>
        </w:rPr>
        <w:t>PU</w:t>
      </w:r>
      <w:r w:rsidR="00C1783F" w:rsidRPr="009E6A95">
        <w:rPr>
          <w:color w:val="262626" w:themeColor="text1" w:themeTint="D9"/>
        </w:rPr>
        <w:t xml:space="preserve"> is </w:t>
      </w:r>
      <w:r w:rsidR="00D631D9" w:rsidRPr="009E6A95">
        <w:rPr>
          <w:color w:val="262626" w:themeColor="text1" w:themeTint="D9"/>
        </w:rPr>
        <w:t xml:space="preserve">expressed in </w:t>
      </w:r>
      <w:r w:rsidR="00C67BD2" w:rsidRPr="009E6A95">
        <w:rPr>
          <w:color w:val="262626" w:themeColor="text1" w:themeTint="D9"/>
        </w:rPr>
        <w:t>SI units at the 95% confidence level</w:t>
      </w:r>
      <w:r w:rsidR="00D631D9" w:rsidRPr="009E6A95">
        <w:rPr>
          <w:color w:val="262626" w:themeColor="text1" w:themeTint="D9"/>
        </w:rPr>
        <w:t>.</w:t>
      </w:r>
    </w:p>
    <w:p w:rsidR="00EB2E09" w:rsidRPr="009E6A95" w:rsidRDefault="007B27EF" w:rsidP="007B27EF">
      <w:pPr>
        <w:rPr>
          <w:color w:val="262626" w:themeColor="text1" w:themeTint="D9"/>
        </w:rPr>
      </w:pPr>
      <w:r w:rsidRPr="009E6A95">
        <w:rPr>
          <w:b/>
          <w:color w:val="262626" w:themeColor="text1" w:themeTint="D9"/>
        </w:rPr>
        <w:t>Relative Uncertainty (RU)</w:t>
      </w:r>
      <w:r w:rsidRPr="009E6A95">
        <w:rPr>
          <w:color w:val="262626" w:themeColor="text1" w:themeTint="D9"/>
        </w:rPr>
        <w:t xml:space="preserve"> </w:t>
      </w:r>
      <w:r w:rsidR="00D64580" w:rsidRPr="009E6A95">
        <w:rPr>
          <w:color w:val="262626" w:themeColor="text1" w:themeTint="D9"/>
        </w:rPr>
        <w:t>is</w:t>
      </w:r>
      <w:r w:rsidR="008839AB" w:rsidRPr="009E6A95">
        <w:rPr>
          <w:color w:val="262626" w:themeColor="text1" w:themeTint="D9"/>
        </w:rPr>
        <w:t xml:space="preserve"> the </w:t>
      </w:r>
      <w:r w:rsidR="000B2E42" w:rsidRPr="009E6A95">
        <w:rPr>
          <w:color w:val="262626" w:themeColor="text1" w:themeTint="D9"/>
        </w:rPr>
        <w:t>uncertainty</w:t>
      </w:r>
      <w:r w:rsidR="008839AB" w:rsidRPr="009E6A95">
        <w:rPr>
          <w:color w:val="262626" w:themeColor="text1" w:themeTint="D9"/>
        </w:rPr>
        <w:t xml:space="preserve"> </w:t>
      </w:r>
      <w:r w:rsidR="00AB2B15" w:rsidRPr="009E6A95">
        <w:rPr>
          <w:color w:val="262626" w:themeColor="text1" w:themeTint="D9"/>
        </w:rPr>
        <w:t xml:space="preserve">between </w:t>
      </w:r>
      <w:r w:rsidR="007602BC" w:rsidRPr="009E6A95">
        <w:rPr>
          <w:color w:val="262626" w:themeColor="text1" w:themeTint="D9"/>
        </w:rPr>
        <w:t>the horizontal and/or vertical coordinates of a</w:t>
      </w:r>
      <w:r w:rsidR="000B2E42" w:rsidRPr="009E6A95">
        <w:rPr>
          <w:color w:val="262626" w:themeColor="text1" w:themeTint="D9"/>
        </w:rPr>
        <w:t>ny two</w:t>
      </w:r>
      <w:r w:rsidR="007602BC" w:rsidRPr="009E6A95">
        <w:rPr>
          <w:color w:val="262626" w:themeColor="text1" w:themeTint="D9"/>
        </w:rPr>
        <w:t xml:space="preserve"> survey control mark</w:t>
      </w:r>
      <w:r w:rsidR="000B2E42" w:rsidRPr="009E6A95">
        <w:rPr>
          <w:color w:val="262626" w:themeColor="text1" w:themeTint="D9"/>
        </w:rPr>
        <w:t>s</w:t>
      </w:r>
      <w:r w:rsidR="008839AB" w:rsidRPr="009E6A95">
        <w:rPr>
          <w:color w:val="262626" w:themeColor="text1" w:themeTint="D9"/>
        </w:rPr>
        <w:t>.</w:t>
      </w:r>
      <w:r w:rsidR="0079433A" w:rsidRPr="009E6A95">
        <w:rPr>
          <w:color w:val="262626" w:themeColor="text1" w:themeTint="D9"/>
        </w:rPr>
        <w:t xml:space="preserve"> Such marks may be connected by measurement directly or indirectly.</w:t>
      </w:r>
      <w:r w:rsidR="008839AB" w:rsidRPr="009E6A95">
        <w:rPr>
          <w:color w:val="262626" w:themeColor="text1" w:themeTint="D9"/>
        </w:rPr>
        <w:t xml:space="preserve"> </w:t>
      </w:r>
      <w:r w:rsidR="00480A12" w:rsidRPr="009E6A95">
        <w:rPr>
          <w:color w:val="262626" w:themeColor="text1" w:themeTint="D9"/>
        </w:rPr>
        <w:t xml:space="preserve">The preferred and most rigorous means for deriving RU </w:t>
      </w:r>
      <w:r w:rsidR="00F40E4B" w:rsidRPr="009E6A95">
        <w:rPr>
          <w:color w:val="262626" w:themeColor="text1" w:themeTint="D9"/>
        </w:rPr>
        <w:t xml:space="preserve">between pairs of marks </w:t>
      </w:r>
      <w:r w:rsidR="00480A12" w:rsidRPr="009E6A95">
        <w:rPr>
          <w:color w:val="262626" w:themeColor="text1" w:themeTint="D9"/>
        </w:rPr>
        <w:t xml:space="preserve">is </w:t>
      </w:r>
      <w:r w:rsidR="00F1164E" w:rsidRPr="009E6A95">
        <w:rPr>
          <w:color w:val="262626" w:themeColor="text1" w:themeTint="D9"/>
        </w:rPr>
        <w:t xml:space="preserve">by </w:t>
      </w:r>
      <w:r w:rsidR="00F40E4B" w:rsidRPr="009E6A95">
        <w:rPr>
          <w:color w:val="262626" w:themeColor="text1" w:themeTint="D9"/>
        </w:rPr>
        <w:t>propagating the respective</w:t>
      </w:r>
      <w:r w:rsidR="00480A12" w:rsidRPr="009E6A95">
        <w:rPr>
          <w:color w:val="262626" w:themeColor="text1" w:themeTint="D9"/>
        </w:rPr>
        <w:t xml:space="preserve"> variance</w:t>
      </w:r>
      <w:r w:rsidR="00F40E4B" w:rsidRPr="009E6A95">
        <w:rPr>
          <w:color w:val="262626" w:themeColor="text1" w:themeTint="D9"/>
        </w:rPr>
        <w:t>s</w:t>
      </w:r>
      <w:r w:rsidR="00480A12" w:rsidRPr="009E6A95">
        <w:rPr>
          <w:color w:val="262626" w:themeColor="text1" w:themeTint="D9"/>
        </w:rPr>
        <w:t xml:space="preserve"> </w:t>
      </w:r>
      <w:r w:rsidR="00F40E4B" w:rsidRPr="009E6A95">
        <w:rPr>
          <w:color w:val="262626" w:themeColor="text1" w:themeTint="D9"/>
        </w:rPr>
        <w:t xml:space="preserve">and </w:t>
      </w:r>
      <w:r w:rsidR="00BF334A" w:rsidRPr="009E6A95">
        <w:rPr>
          <w:color w:val="262626" w:themeColor="text1" w:themeTint="D9"/>
        </w:rPr>
        <w:t>co-variance</w:t>
      </w:r>
      <w:r w:rsidR="00F40E4B" w:rsidRPr="009E6A95">
        <w:rPr>
          <w:color w:val="262626" w:themeColor="text1" w:themeTint="D9"/>
        </w:rPr>
        <w:t>s</w:t>
      </w:r>
      <w:r w:rsidR="00BF334A" w:rsidRPr="009E6A95">
        <w:rPr>
          <w:color w:val="262626" w:themeColor="text1" w:themeTint="D9"/>
        </w:rPr>
        <w:t xml:space="preserve"> </w:t>
      </w:r>
      <w:r w:rsidR="00F40E4B" w:rsidRPr="009E6A95">
        <w:rPr>
          <w:color w:val="262626" w:themeColor="text1" w:themeTint="D9"/>
        </w:rPr>
        <w:t>obtained</w:t>
      </w:r>
      <w:r w:rsidR="00BF334A" w:rsidRPr="009E6A95">
        <w:rPr>
          <w:color w:val="262626" w:themeColor="text1" w:themeTint="D9"/>
        </w:rPr>
        <w:t xml:space="preserve"> from </w:t>
      </w:r>
      <w:r w:rsidR="003C6D91" w:rsidRPr="009E6A95">
        <w:rPr>
          <w:color w:val="262626" w:themeColor="text1" w:themeTint="D9"/>
        </w:rPr>
        <w:t xml:space="preserve">a </w:t>
      </w:r>
      <w:r w:rsidR="00BF334A" w:rsidRPr="009E6A95">
        <w:rPr>
          <w:color w:val="262626" w:themeColor="text1" w:themeTint="D9"/>
        </w:rPr>
        <w:t xml:space="preserve">minimally </w:t>
      </w:r>
      <w:r w:rsidR="00713ED4" w:rsidRPr="009E6A95">
        <w:rPr>
          <w:color w:val="262626" w:themeColor="text1" w:themeTint="D9"/>
        </w:rPr>
        <w:t>or fully constrained</w:t>
      </w:r>
      <w:r w:rsidR="00BD7A0F" w:rsidRPr="009E6A95">
        <w:rPr>
          <w:color w:val="262626" w:themeColor="text1" w:themeTint="D9"/>
        </w:rPr>
        <w:t xml:space="preserve"> least squares</w:t>
      </w:r>
      <w:r w:rsidR="00713ED4" w:rsidRPr="009E6A95">
        <w:rPr>
          <w:color w:val="262626" w:themeColor="text1" w:themeTint="D9"/>
        </w:rPr>
        <w:t xml:space="preserve"> adjustment</w:t>
      </w:r>
      <w:r w:rsidR="00512A5E" w:rsidRPr="009E6A95">
        <w:rPr>
          <w:color w:val="262626" w:themeColor="text1" w:themeTint="D9"/>
        </w:rPr>
        <w:t xml:space="preserve"> (i.e. from SU or PU)</w:t>
      </w:r>
      <w:r w:rsidR="00EA1158" w:rsidRPr="009E6A95">
        <w:rPr>
          <w:color w:val="262626" w:themeColor="text1" w:themeTint="D9"/>
        </w:rPr>
        <w:t xml:space="preserve">. </w:t>
      </w:r>
      <w:r w:rsidR="00F53A49" w:rsidRPr="009E6A95">
        <w:rPr>
          <w:color w:val="262626" w:themeColor="text1" w:themeTint="D9"/>
        </w:rPr>
        <w:t xml:space="preserve"> </w:t>
      </w:r>
      <w:r w:rsidR="00C67BD2" w:rsidRPr="009E6A95">
        <w:rPr>
          <w:color w:val="262626" w:themeColor="text1" w:themeTint="D9"/>
        </w:rPr>
        <w:t>RU can be expressed in SI units at the 95% confidence level</w:t>
      </w:r>
      <w:r w:rsidR="003A60C2" w:rsidRPr="009E6A95">
        <w:rPr>
          <w:color w:val="262626" w:themeColor="text1" w:themeTint="D9"/>
        </w:rPr>
        <w:t>,</w:t>
      </w:r>
      <w:r w:rsidR="00C67BD2" w:rsidRPr="009E6A95">
        <w:rPr>
          <w:color w:val="262626" w:themeColor="text1" w:themeTint="D9"/>
        </w:rPr>
        <w:t xml:space="preserve"> or </w:t>
      </w:r>
      <w:r w:rsidR="003A60C2" w:rsidRPr="009E6A95">
        <w:rPr>
          <w:color w:val="262626" w:themeColor="text1" w:themeTint="D9"/>
        </w:rPr>
        <w:t xml:space="preserve">in </w:t>
      </w:r>
      <w:r w:rsidR="00C67BD2" w:rsidRPr="009E6A95">
        <w:rPr>
          <w:color w:val="262626" w:themeColor="text1" w:themeTint="D9"/>
        </w:rPr>
        <w:t>a proportional form such as a ratio of uncertainty per unit length or survey misclosure.</w:t>
      </w:r>
    </w:p>
    <w:p w:rsidR="00F32C9D" w:rsidRPr="00BA4555" w:rsidRDefault="00425C6D" w:rsidP="00F32C9D">
      <w:pPr>
        <w:pStyle w:val="Heading2"/>
        <w:rPr>
          <w:color w:val="4F6228" w:themeColor="accent3" w:themeShade="80"/>
        </w:rPr>
      </w:pPr>
      <w:bookmarkStart w:id="58" w:name="_Toc279047940"/>
      <w:bookmarkStart w:id="59" w:name="_Toc399489511"/>
      <w:r w:rsidRPr="00BA4555">
        <w:rPr>
          <w:color w:val="4F6228" w:themeColor="accent3" w:themeShade="80"/>
        </w:rPr>
        <w:t>Evaluating</w:t>
      </w:r>
      <w:r w:rsidR="00F32C9D" w:rsidRPr="00BA4555">
        <w:rPr>
          <w:color w:val="4F6228" w:themeColor="accent3" w:themeShade="80"/>
        </w:rPr>
        <w:t xml:space="preserve"> </w:t>
      </w:r>
      <w:r w:rsidR="00C52F9F" w:rsidRPr="00BA4555">
        <w:rPr>
          <w:color w:val="4F6228" w:themeColor="accent3" w:themeShade="80"/>
        </w:rPr>
        <w:t>uncertainty</w:t>
      </w:r>
      <w:bookmarkEnd w:id="58"/>
      <w:bookmarkEnd w:id="59"/>
    </w:p>
    <w:p w:rsidR="00D542EC" w:rsidRPr="00BA4555" w:rsidRDefault="00C52F9F" w:rsidP="00D542EC">
      <w:pPr>
        <w:pStyle w:val="Heading3"/>
        <w:rPr>
          <w:rFonts w:eastAsia="Lucida Sans Unicode"/>
          <w:color w:val="4F6228" w:themeColor="accent3" w:themeShade="80"/>
        </w:rPr>
      </w:pPr>
      <w:bookmarkStart w:id="60" w:name="_Toc399489512"/>
      <w:r w:rsidRPr="00BA4555">
        <w:rPr>
          <w:rFonts w:eastAsia="Lucida Sans Unicode"/>
          <w:color w:val="4F6228" w:themeColor="accent3" w:themeShade="80"/>
        </w:rPr>
        <w:t>Control surveys</w:t>
      </w:r>
      <w:r w:rsidR="00D542EC" w:rsidRPr="00BA4555">
        <w:rPr>
          <w:rFonts w:eastAsia="Lucida Sans Unicode"/>
          <w:color w:val="4F6228" w:themeColor="accent3" w:themeShade="80"/>
        </w:rPr>
        <w:t xml:space="preserve"> using least squares</w:t>
      </w:r>
      <w:bookmarkEnd w:id="60"/>
    </w:p>
    <w:p w:rsidR="00F32C9D" w:rsidRPr="009E6A95" w:rsidRDefault="00F32C9D" w:rsidP="00F32C9D">
      <w:pPr>
        <w:rPr>
          <w:color w:val="262626" w:themeColor="text1" w:themeTint="D9"/>
        </w:rPr>
      </w:pPr>
      <w:r w:rsidRPr="009E6A95">
        <w:rPr>
          <w:color w:val="262626" w:themeColor="text1" w:themeTint="D9"/>
        </w:rPr>
        <w:t>The horizontal and/or vertical</w:t>
      </w:r>
      <w:r w:rsidR="00707BF1" w:rsidRPr="009E6A95">
        <w:rPr>
          <w:color w:val="262626" w:themeColor="text1" w:themeTint="D9"/>
        </w:rPr>
        <w:t xml:space="preserve"> coordinates</w:t>
      </w:r>
      <w:r w:rsidR="00F24CCC" w:rsidRPr="009E6A95">
        <w:rPr>
          <w:color w:val="262626" w:themeColor="text1" w:themeTint="D9"/>
        </w:rPr>
        <w:t xml:space="preserve"> and uncertainties</w:t>
      </w:r>
      <w:r w:rsidRPr="009E6A95">
        <w:rPr>
          <w:color w:val="262626" w:themeColor="text1" w:themeTint="D9"/>
        </w:rPr>
        <w:t xml:space="preserve"> of survey control marks </w:t>
      </w:r>
      <w:r w:rsidR="00C62348" w:rsidRPr="009E6A95">
        <w:rPr>
          <w:color w:val="262626" w:themeColor="text1" w:themeTint="D9"/>
        </w:rPr>
        <w:t xml:space="preserve">in a Datum </w:t>
      </w:r>
      <w:r w:rsidR="00B31C3B" w:rsidRPr="009E6A95">
        <w:rPr>
          <w:color w:val="262626" w:themeColor="text1" w:themeTint="D9"/>
        </w:rPr>
        <w:t xml:space="preserve">Control </w:t>
      </w:r>
      <w:r w:rsidR="00C62348" w:rsidRPr="009E6A95">
        <w:rPr>
          <w:color w:val="262626" w:themeColor="text1" w:themeTint="D9"/>
        </w:rPr>
        <w:t xml:space="preserve">Survey </w:t>
      </w:r>
      <w:r w:rsidRPr="009E6A95">
        <w:rPr>
          <w:color w:val="262626" w:themeColor="text1" w:themeTint="D9"/>
        </w:rPr>
        <w:t xml:space="preserve">shall be </w:t>
      </w:r>
      <w:r w:rsidR="00521BB4" w:rsidRPr="009E6A95">
        <w:rPr>
          <w:color w:val="262626" w:themeColor="text1" w:themeTint="D9"/>
        </w:rPr>
        <w:t>estimated using</w:t>
      </w:r>
      <w:r w:rsidRPr="009E6A95">
        <w:rPr>
          <w:color w:val="262626" w:themeColor="text1" w:themeTint="D9"/>
        </w:rPr>
        <w:t xml:space="preserve"> a rigorous least squares adjustment process.</w:t>
      </w:r>
    </w:p>
    <w:p w:rsidR="000B19CF" w:rsidRPr="009E6A95" w:rsidRDefault="000B19CF" w:rsidP="000B19CF">
      <w:pPr>
        <w:rPr>
          <w:color w:val="262626" w:themeColor="text1" w:themeTint="D9"/>
        </w:rPr>
      </w:pPr>
      <w:r w:rsidRPr="009E6A95">
        <w:rPr>
          <w:color w:val="262626" w:themeColor="text1" w:themeTint="D9"/>
        </w:rPr>
        <w:t>General Purpose Control Surveys should use least squares adjustment to estimate uncertainty.</w:t>
      </w:r>
    </w:p>
    <w:p w:rsidR="00E539F3" w:rsidRPr="009E6A95" w:rsidRDefault="00F32C9D" w:rsidP="00F32C9D">
      <w:pPr>
        <w:rPr>
          <w:b/>
          <w:color w:val="262626" w:themeColor="text1" w:themeTint="D9"/>
        </w:rPr>
      </w:pPr>
      <w:r w:rsidRPr="009E6A95">
        <w:rPr>
          <w:color w:val="262626" w:themeColor="text1" w:themeTint="D9"/>
        </w:rPr>
        <w:t xml:space="preserve">Throughout and following least squares adjustment, survey control projects shall be </w:t>
      </w:r>
      <w:r w:rsidR="004667B3" w:rsidRPr="009E6A95">
        <w:rPr>
          <w:color w:val="262626" w:themeColor="text1" w:themeTint="D9"/>
        </w:rPr>
        <w:t>evaluated</w:t>
      </w:r>
      <w:r w:rsidRPr="009E6A95">
        <w:rPr>
          <w:color w:val="262626" w:themeColor="text1" w:themeTint="D9"/>
        </w:rPr>
        <w:t xml:space="preserve"> to demonstrate the reliability of the survey and </w:t>
      </w:r>
      <w:r w:rsidR="00F966A4" w:rsidRPr="009E6A95">
        <w:rPr>
          <w:color w:val="262626" w:themeColor="text1" w:themeTint="D9"/>
        </w:rPr>
        <w:t>the estimated coordinate</w:t>
      </w:r>
      <w:r w:rsidR="00F24CCC" w:rsidRPr="009E6A95">
        <w:rPr>
          <w:color w:val="262626" w:themeColor="text1" w:themeTint="D9"/>
        </w:rPr>
        <w:t>s and</w:t>
      </w:r>
      <w:r w:rsidR="00F966A4" w:rsidRPr="009E6A95">
        <w:rPr>
          <w:color w:val="262626" w:themeColor="text1" w:themeTint="D9"/>
        </w:rPr>
        <w:t xml:space="preserve"> uncertainties</w:t>
      </w:r>
      <w:r w:rsidRPr="009E6A95">
        <w:rPr>
          <w:color w:val="262626" w:themeColor="text1" w:themeTint="D9"/>
        </w:rPr>
        <w:t>.</w:t>
      </w:r>
      <w:r w:rsidR="00B66E27" w:rsidRPr="009E6A95">
        <w:rPr>
          <w:color w:val="262626" w:themeColor="text1" w:themeTint="D9"/>
        </w:rPr>
        <w:t xml:space="preserve"> The quality of estimated coordinates in an absolute sense shall be </w:t>
      </w:r>
      <w:r w:rsidR="004667B3" w:rsidRPr="009E6A95">
        <w:rPr>
          <w:color w:val="262626" w:themeColor="text1" w:themeTint="D9"/>
        </w:rPr>
        <w:t>evaluated</w:t>
      </w:r>
      <w:r w:rsidR="00B66E27" w:rsidRPr="009E6A95">
        <w:rPr>
          <w:color w:val="262626" w:themeColor="text1" w:themeTint="D9"/>
        </w:rPr>
        <w:t xml:space="preserve"> using SU and/or PU as appropriate.</w:t>
      </w:r>
      <w:r w:rsidR="008F1327" w:rsidRPr="009E6A95">
        <w:rPr>
          <w:color w:val="262626" w:themeColor="text1" w:themeTint="D9"/>
        </w:rPr>
        <w:t xml:space="preserve"> </w:t>
      </w:r>
      <w:r w:rsidR="00E539F3" w:rsidRPr="009E6A95">
        <w:rPr>
          <w:color w:val="262626" w:themeColor="text1" w:themeTint="D9"/>
        </w:rPr>
        <w:t xml:space="preserve">The </w:t>
      </w:r>
      <w:r w:rsidR="00B66E27" w:rsidRPr="009E6A95">
        <w:rPr>
          <w:color w:val="262626" w:themeColor="text1" w:themeTint="D9"/>
        </w:rPr>
        <w:t xml:space="preserve">relative </w:t>
      </w:r>
      <w:r w:rsidR="00E539F3" w:rsidRPr="009E6A95">
        <w:rPr>
          <w:color w:val="262626" w:themeColor="text1" w:themeTint="D9"/>
        </w:rPr>
        <w:t xml:space="preserve">quality of estimated coordinates </w:t>
      </w:r>
      <w:r w:rsidR="00B66E27" w:rsidRPr="009E6A95">
        <w:rPr>
          <w:color w:val="262626" w:themeColor="text1" w:themeTint="D9"/>
        </w:rPr>
        <w:t xml:space="preserve">shall be </w:t>
      </w:r>
      <w:r w:rsidR="004667B3" w:rsidRPr="009E6A95">
        <w:rPr>
          <w:color w:val="262626" w:themeColor="text1" w:themeTint="D9"/>
        </w:rPr>
        <w:t>evaluated</w:t>
      </w:r>
      <w:r w:rsidR="00E539F3" w:rsidRPr="009E6A95">
        <w:rPr>
          <w:color w:val="262626" w:themeColor="text1" w:themeTint="D9"/>
        </w:rPr>
        <w:t xml:space="preserve"> using RU.</w:t>
      </w:r>
    </w:p>
    <w:p w:rsidR="00F32C9D" w:rsidRPr="009E6A95" w:rsidRDefault="00F32C9D" w:rsidP="00F32C9D">
      <w:pPr>
        <w:rPr>
          <w:color w:val="262626" w:themeColor="text1" w:themeTint="D9"/>
        </w:rPr>
      </w:pPr>
      <w:r w:rsidRPr="009E6A95">
        <w:rPr>
          <w:color w:val="262626" w:themeColor="text1" w:themeTint="D9"/>
        </w:rPr>
        <w:t xml:space="preserve">Refer to the </w:t>
      </w:r>
      <w:r w:rsidRPr="009E6A95">
        <w:rPr>
          <w:i/>
          <w:color w:val="262626" w:themeColor="text1" w:themeTint="D9"/>
        </w:rPr>
        <w:t xml:space="preserve">Guideline </w:t>
      </w:r>
      <w:r w:rsidR="00A816D8" w:rsidRPr="009E6A95">
        <w:rPr>
          <w:i/>
          <w:color w:val="262626" w:themeColor="text1" w:themeTint="D9"/>
        </w:rPr>
        <w:t xml:space="preserve">for the Adjustment and </w:t>
      </w:r>
      <w:r w:rsidR="006858F2" w:rsidRPr="009E6A95">
        <w:rPr>
          <w:i/>
          <w:color w:val="262626" w:themeColor="text1" w:themeTint="D9"/>
        </w:rPr>
        <w:t xml:space="preserve">Evaluation </w:t>
      </w:r>
      <w:r w:rsidRPr="009E6A95">
        <w:rPr>
          <w:i/>
          <w:color w:val="262626" w:themeColor="text1" w:themeTint="D9"/>
        </w:rPr>
        <w:t>of Survey Control</w:t>
      </w:r>
      <w:r w:rsidRPr="009E6A95">
        <w:rPr>
          <w:color w:val="262626" w:themeColor="text1" w:themeTint="D9"/>
        </w:rPr>
        <w:t xml:space="preserve"> for ICSM’s recommended </w:t>
      </w:r>
      <w:r w:rsidR="009D4F93" w:rsidRPr="009E6A95">
        <w:rPr>
          <w:color w:val="262626" w:themeColor="text1" w:themeTint="D9"/>
        </w:rPr>
        <w:t xml:space="preserve">procedures </w:t>
      </w:r>
      <w:r w:rsidRPr="009E6A95">
        <w:rPr>
          <w:color w:val="262626" w:themeColor="text1" w:themeTint="D9"/>
        </w:rPr>
        <w:t xml:space="preserve">for the adjustment of survey control, testing of survey measurements and network adjustment, and for </w:t>
      </w:r>
      <w:r w:rsidR="004D6B01" w:rsidRPr="009E6A95">
        <w:rPr>
          <w:color w:val="262626" w:themeColor="text1" w:themeTint="D9"/>
        </w:rPr>
        <w:t>estimating</w:t>
      </w:r>
      <w:r w:rsidRPr="009E6A95">
        <w:rPr>
          <w:color w:val="262626" w:themeColor="text1" w:themeTint="D9"/>
        </w:rPr>
        <w:t xml:space="preserve"> and testing uncertainty.</w:t>
      </w:r>
    </w:p>
    <w:p w:rsidR="00150486" w:rsidRPr="00BA4555" w:rsidRDefault="00C52F9F" w:rsidP="00150486">
      <w:pPr>
        <w:pStyle w:val="Heading3"/>
        <w:rPr>
          <w:rFonts w:eastAsia="Lucida Sans Unicode"/>
          <w:color w:val="4F6228" w:themeColor="accent3" w:themeShade="80"/>
        </w:rPr>
      </w:pPr>
      <w:bookmarkStart w:id="61" w:name="_Toc399489513"/>
      <w:r w:rsidRPr="00BA4555">
        <w:rPr>
          <w:rFonts w:eastAsia="Lucida Sans Unicode"/>
          <w:color w:val="4F6228" w:themeColor="accent3" w:themeShade="80"/>
        </w:rPr>
        <w:t>Control surveys</w:t>
      </w:r>
      <w:r w:rsidR="00150486" w:rsidRPr="00BA4555">
        <w:rPr>
          <w:rFonts w:eastAsia="Lucida Sans Unicode"/>
          <w:color w:val="4F6228" w:themeColor="accent3" w:themeShade="80"/>
        </w:rPr>
        <w:t xml:space="preserve"> </w:t>
      </w:r>
      <w:r w:rsidR="004B6072" w:rsidRPr="00BA4555">
        <w:rPr>
          <w:rFonts w:eastAsia="Lucida Sans Unicode"/>
          <w:color w:val="4F6228" w:themeColor="accent3" w:themeShade="80"/>
        </w:rPr>
        <w:t xml:space="preserve">using </w:t>
      </w:r>
      <w:r w:rsidR="00D542EC" w:rsidRPr="00BA4555">
        <w:rPr>
          <w:rFonts w:eastAsia="Lucida Sans Unicode"/>
          <w:color w:val="4F6228" w:themeColor="accent3" w:themeShade="80"/>
        </w:rPr>
        <w:t>other reliable statistical methods</w:t>
      </w:r>
      <w:bookmarkEnd w:id="61"/>
    </w:p>
    <w:p w:rsidR="00150486" w:rsidRPr="009E6A95" w:rsidRDefault="00150486" w:rsidP="00150486">
      <w:pPr>
        <w:rPr>
          <w:color w:val="262626" w:themeColor="text1" w:themeTint="D9"/>
        </w:rPr>
      </w:pPr>
      <w:r w:rsidRPr="009E6A95">
        <w:rPr>
          <w:color w:val="262626" w:themeColor="text1" w:themeTint="D9"/>
        </w:rPr>
        <w:t xml:space="preserve">It is expected that most </w:t>
      </w:r>
      <w:r w:rsidR="006D4B45" w:rsidRPr="009E6A95">
        <w:rPr>
          <w:color w:val="262626" w:themeColor="text1" w:themeTint="D9"/>
        </w:rPr>
        <w:t xml:space="preserve">General Purpose </w:t>
      </w:r>
      <w:r w:rsidR="00A80A4C" w:rsidRPr="009E6A95">
        <w:rPr>
          <w:color w:val="262626" w:themeColor="text1" w:themeTint="D9"/>
        </w:rPr>
        <w:t xml:space="preserve">Control Surveys </w:t>
      </w:r>
      <w:r w:rsidRPr="009E6A95">
        <w:rPr>
          <w:color w:val="262626" w:themeColor="text1" w:themeTint="D9"/>
        </w:rPr>
        <w:t xml:space="preserve">will use least squares to </w:t>
      </w:r>
      <w:r w:rsidR="008E0013" w:rsidRPr="009E6A95">
        <w:rPr>
          <w:color w:val="262626" w:themeColor="text1" w:themeTint="D9"/>
        </w:rPr>
        <w:t>estimate</w:t>
      </w:r>
      <w:r w:rsidRPr="009E6A95">
        <w:rPr>
          <w:color w:val="262626" w:themeColor="text1" w:themeTint="D9"/>
        </w:rPr>
        <w:t xml:space="preserve"> uncertainty. However, in the cases where least </w:t>
      </w:r>
      <w:proofErr w:type="gramStart"/>
      <w:r w:rsidRPr="009E6A95">
        <w:rPr>
          <w:color w:val="262626" w:themeColor="text1" w:themeTint="D9"/>
        </w:rPr>
        <w:t>squares is</w:t>
      </w:r>
      <w:proofErr w:type="gramEnd"/>
      <w:r w:rsidRPr="009E6A95">
        <w:rPr>
          <w:color w:val="262626" w:themeColor="text1" w:themeTint="D9"/>
        </w:rPr>
        <w:t xml:space="preserve"> not used, </w:t>
      </w:r>
      <w:r w:rsidR="00425C6D" w:rsidRPr="009E6A95">
        <w:rPr>
          <w:color w:val="262626" w:themeColor="text1" w:themeTint="D9"/>
        </w:rPr>
        <w:t>S</w:t>
      </w:r>
      <w:r w:rsidR="00840E38" w:rsidRPr="009E6A95">
        <w:rPr>
          <w:color w:val="262626" w:themeColor="text1" w:themeTint="D9"/>
        </w:rPr>
        <w:t>U</w:t>
      </w:r>
      <w:r w:rsidR="00031213" w:rsidRPr="009E6A95">
        <w:rPr>
          <w:color w:val="262626" w:themeColor="text1" w:themeTint="D9"/>
        </w:rPr>
        <w:t xml:space="preserve"> and </w:t>
      </w:r>
      <w:r w:rsidR="00427983" w:rsidRPr="009E6A95">
        <w:rPr>
          <w:color w:val="262626" w:themeColor="text1" w:themeTint="D9"/>
        </w:rPr>
        <w:t>R</w:t>
      </w:r>
      <w:r w:rsidRPr="009E6A95">
        <w:rPr>
          <w:color w:val="262626" w:themeColor="text1" w:themeTint="D9"/>
        </w:rPr>
        <w:t>U sh</w:t>
      </w:r>
      <w:r w:rsidR="00A707CD" w:rsidRPr="009E6A95">
        <w:rPr>
          <w:color w:val="262626" w:themeColor="text1" w:themeTint="D9"/>
        </w:rPr>
        <w:t>all</w:t>
      </w:r>
      <w:r w:rsidRPr="009E6A95">
        <w:rPr>
          <w:color w:val="262626" w:themeColor="text1" w:themeTint="D9"/>
        </w:rPr>
        <w:t xml:space="preserve"> be estimated using redundant </w:t>
      </w:r>
      <w:r w:rsidR="00817F56">
        <w:rPr>
          <w:color w:val="262626" w:themeColor="text1" w:themeTint="D9"/>
        </w:rPr>
        <w:t>measurements</w:t>
      </w:r>
      <w:r w:rsidR="00817F56" w:rsidRPr="009E6A95">
        <w:rPr>
          <w:color w:val="262626" w:themeColor="text1" w:themeTint="D9"/>
        </w:rPr>
        <w:t xml:space="preserve"> </w:t>
      </w:r>
      <w:r w:rsidRPr="009E6A95">
        <w:rPr>
          <w:color w:val="262626" w:themeColor="text1" w:themeTint="D9"/>
        </w:rPr>
        <w:t xml:space="preserve">within the survey to verify that the </w:t>
      </w:r>
      <w:r w:rsidR="005134A1" w:rsidRPr="009E6A95">
        <w:rPr>
          <w:color w:val="262626" w:themeColor="text1" w:themeTint="D9"/>
        </w:rPr>
        <w:t>survey</w:t>
      </w:r>
      <w:r w:rsidRPr="009E6A95">
        <w:rPr>
          <w:color w:val="262626" w:themeColor="text1" w:themeTint="D9"/>
        </w:rPr>
        <w:t xml:space="preserve"> quality is conforming to the expected quality. In such cases, the method for estimating </w:t>
      </w:r>
      <w:r w:rsidR="00031213" w:rsidRPr="009E6A95">
        <w:rPr>
          <w:color w:val="262626" w:themeColor="text1" w:themeTint="D9"/>
        </w:rPr>
        <w:t xml:space="preserve">SU and </w:t>
      </w:r>
      <w:r w:rsidR="00427983" w:rsidRPr="009E6A95">
        <w:rPr>
          <w:color w:val="262626" w:themeColor="text1" w:themeTint="D9"/>
        </w:rPr>
        <w:t>R</w:t>
      </w:r>
      <w:r w:rsidRPr="009E6A95">
        <w:rPr>
          <w:color w:val="262626" w:themeColor="text1" w:themeTint="D9"/>
        </w:rPr>
        <w:t>U should be clearly documented</w:t>
      </w:r>
      <w:r w:rsidR="00EA1158" w:rsidRPr="009E6A95">
        <w:rPr>
          <w:color w:val="262626" w:themeColor="text1" w:themeTint="D9"/>
        </w:rPr>
        <w:t xml:space="preserve">. </w:t>
      </w:r>
      <w:r w:rsidRPr="009E6A95">
        <w:rPr>
          <w:color w:val="262626" w:themeColor="text1" w:themeTint="D9"/>
        </w:rPr>
        <w:t xml:space="preserve">Examples of </w:t>
      </w:r>
      <w:r w:rsidR="0041327C" w:rsidRPr="009E6A95">
        <w:rPr>
          <w:color w:val="262626" w:themeColor="text1" w:themeTint="D9"/>
        </w:rPr>
        <w:t>reliable statistical methods</w:t>
      </w:r>
      <w:r w:rsidR="00186D9C" w:rsidRPr="009E6A95">
        <w:rPr>
          <w:color w:val="262626" w:themeColor="text1" w:themeTint="D9"/>
        </w:rPr>
        <w:t>,</w:t>
      </w:r>
      <w:r w:rsidR="0041327C" w:rsidRPr="009E6A95">
        <w:rPr>
          <w:color w:val="262626" w:themeColor="text1" w:themeTint="D9"/>
        </w:rPr>
        <w:t xml:space="preserve"> </w:t>
      </w:r>
      <w:r w:rsidR="001E70D3" w:rsidRPr="009E6A95">
        <w:rPr>
          <w:color w:val="262626" w:themeColor="text1" w:themeTint="D9"/>
        </w:rPr>
        <w:t>specific to certain measurement techniques</w:t>
      </w:r>
      <w:r w:rsidR="00186D9C" w:rsidRPr="009E6A95">
        <w:rPr>
          <w:color w:val="262626" w:themeColor="text1" w:themeTint="D9"/>
        </w:rPr>
        <w:t>,</w:t>
      </w:r>
      <w:r w:rsidR="001E70D3" w:rsidRPr="009E6A95">
        <w:rPr>
          <w:color w:val="262626" w:themeColor="text1" w:themeTint="D9"/>
        </w:rPr>
        <w:t xml:space="preserve"> </w:t>
      </w:r>
      <w:r w:rsidR="0041327C" w:rsidRPr="009E6A95">
        <w:rPr>
          <w:color w:val="262626" w:themeColor="text1" w:themeTint="D9"/>
        </w:rPr>
        <w:t>that can</w:t>
      </w:r>
      <w:r w:rsidRPr="009E6A95">
        <w:rPr>
          <w:color w:val="262626" w:themeColor="text1" w:themeTint="D9"/>
        </w:rPr>
        <w:t xml:space="preserve"> be used to </w:t>
      </w:r>
      <w:r w:rsidR="00DD3D34" w:rsidRPr="009E6A95">
        <w:rPr>
          <w:color w:val="262626" w:themeColor="text1" w:themeTint="D9"/>
        </w:rPr>
        <w:t>estimate</w:t>
      </w:r>
      <w:r w:rsidRPr="009E6A95">
        <w:rPr>
          <w:color w:val="262626" w:themeColor="text1" w:themeTint="D9"/>
        </w:rPr>
        <w:t xml:space="preserve"> </w:t>
      </w:r>
      <w:r w:rsidR="005A39DE" w:rsidRPr="009E6A95">
        <w:rPr>
          <w:color w:val="262626" w:themeColor="text1" w:themeTint="D9"/>
        </w:rPr>
        <w:t>control</w:t>
      </w:r>
      <w:r w:rsidRPr="009E6A95">
        <w:rPr>
          <w:color w:val="262626" w:themeColor="text1" w:themeTint="D9"/>
        </w:rPr>
        <w:t xml:space="preserve"> </w:t>
      </w:r>
      <w:r w:rsidR="00031213" w:rsidRPr="009E6A95">
        <w:rPr>
          <w:color w:val="262626" w:themeColor="text1" w:themeTint="D9"/>
        </w:rPr>
        <w:t>survey</w:t>
      </w:r>
      <w:r w:rsidRPr="009E6A95">
        <w:rPr>
          <w:color w:val="262626" w:themeColor="text1" w:themeTint="D9"/>
        </w:rPr>
        <w:t xml:space="preserve"> quality include:</w:t>
      </w:r>
    </w:p>
    <w:p w:rsidR="00150486" w:rsidRPr="009E6A95" w:rsidRDefault="007770EB" w:rsidP="00150486">
      <w:pPr>
        <w:numPr>
          <w:ilvl w:val="0"/>
          <w:numId w:val="11"/>
        </w:numPr>
        <w:rPr>
          <w:color w:val="262626" w:themeColor="text1" w:themeTint="D9"/>
        </w:rPr>
      </w:pPr>
      <w:r>
        <w:rPr>
          <w:color w:val="262626" w:themeColor="text1" w:themeTint="D9"/>
        </w:rPr>
        <w:t>a</w:t>
      </w:r>
      <w:r w:rsidR="00150486" w:rsidRPr="009E6A95">
        <w:rPr>
          <w:color w:val="262626" w:themeColor="text1" w:themeTint="D9"/>
        </w:rPr>
        <w:t xml:space="preserve">nalysis of the misclosure between forward and </w:t>
      </w:r>
      <w:r w:rsidR="00A132FF" w:rsidRPr="009E6A95">
        <w:rPr>
          <w:color w:val="262626" w:themeColor="text1" w:themeTint="D9"/>
        </w:rPr>
        <w:t>backward</w:t>
      </w:r>
      <w:r w:rsidR="00150486" w:rsidRPr="009E6A95">
        <w:rPr>
          <w:color w:val="262626" w:themeColor="text1" w:themeTint="D9"/>
        </w:rPr>
        <w:t xml:space="preserve"> runs in a </w:t>
      </w:r>
      <w:r w:rsidR="00F94CF8" w:rsidRPr="009E6A95">
        <w:rPr>
          <w:color w:val="262626" w:themeColor="text1" w:themeTint="D9"/>
        </w:rPr>
        <w:t xml:space="preserve">differential </w:t>
      </w:r>
      <w:r w:rsidR="00D1411F">
        <w:rPr>
          <w:color w:val="262626" w:themeColor="text1" w:themeTint="D9"/>
        </w:rPr>
        <w:t>levelling survey</w:t>
      </w:r>
      <w:r>
        <w:rPr>
          <w:color w:val="262626" w:themeColor="text1" w:themeTint="D9"/>
        </w:rPr>
        <w:t>;</w:t>
      </w:r>
    </w:p>
    <w:p w:rsidR="00150486" w:rsidRPr="009E6A95" w:rsidRDefault="007770EB" w:rsidP="00150486">
      <w:pPr>
        <w:numPr>
          <w:ilvl w:val="0"/>
          <w:numId w:val="11"/>
        </w:numPr>
        <w:rPr>
          <w:color w:val="262626" w:themeColor="text1" w:themeTint="D9"/>
        </w:rPr>
      </w:pPr>
      <w:r>
        <w:rPr>
          <w:color w:val="262626" w:themeColor="text1" w:themeTint="D9"/>
        </w:rPr>
        <w:t>a</w:t>
      </w:r>
      <w:r w:rsidR="00150486" w:rsidRPr="009E6A95">
        <w:rPr>
          <w:color w:val="262626" w:themeColor="text1" w:themeTint="D9"/>
        </w:rPr>
        <w:t>nalysis of the misclosure in a</w:t>
      </w:r>
      <w:r w:rsidR="00D1411F">
        <w:rPr>
          <w:color w:val="262626" w:themeColor="text1" w:themeTint="D9"/>
        </w:rPr>
        <w:t xml:space="preserve"> total station control traverse</w:t>
      </w:r>
      <w:r>
        <w:rPr>
          <w:color w:val="262626" w:themeColor="text1" w:themeTint="D9"/>
        </w:rPr>
        <w:t>; and</w:t>
      </w:r>
    </w:p>
    <w:p w:rsidR="00150486" w:rsidRPr="009E6A95" w:rsidRDefault="007770EB" w:rsidP="00150486">
      <w:pPr>
        <w:numPr>
          <w:ilvl w:val="0"/>
          <w:numId w:val="11"/>
        </w:numPr>
        <w:rPr>
          <w:color w:val="262626" w:themeColor="text1" w:themeTint="D9"/>
        </w:rPr>
      </w:pPr>
      <w:proofErr w:type="gramStart"/>
      <w:r>
        <w:rPr>
          <w:color w:val="262626" w:themeColor="text1" w:themeTint="D9"/>
        </w:rPr>
        <w:t>c</w:t>
      </w:r>
      <w:r w:rsidR="00150486" w:rsidRPr="009E6A95">
        <w:rPr>
          <w:color w:val="262626" w:themeColor="text1" w:themeTint="D9"/>
        </w:rPr>
        <w:t>omparison</w:t>
      </w:r>
      <w:proofErr w:type="gramEnd"/>
      <w:r w:rsidR="00150486" w:rsidRPr="009E6A95">
        <w:rPr>
          <w:color w:val="262626" w:themeColor="text1" w:themeTint="D9"/>
        </w:rPr>
        <w:t xml:space="preserve"> of coordinates of multiple GNSS occupati</w:t>
      </w:r>
      <w:r w:rsidR="001123FB" w:rsidRPr="009E6A95">
        <w:rPr>
          <w:color w:val="262626" w:themeColor="text1" w:themeTint="D9"/>
        </w:rPr>
        <w:t>ons.</w:t>
      </w:r>
    </w:p>
    <w:p w:rsidR="00150486" w:rsidRPr="009E6A95" w:rsidRDefault="00150486" w:rsidP="00150486">
      <w:pPr>
        <w:rPr>
          <w:color w:val="262626" w:themeColor="text1" w:themeTint="D9"/>
        </w:rPr>
      </w:pPr>
      <w:r w:rsidRPr="009E6A95">
        <w:rPr>
          <w:color w:val="262626" w:themeColor="text1" w:themeTint="D9"/>
        </w:rPr>
        <w:t xml:space="preserve">Where least squares adjustment is not used, PU </w:t>
      </w:r>
      <w:r w:rsidR="00A707CD" w:rsidRPr="009E6A95">
        <w:rPr>
          <w:color w:val="262626" w:themeColor="text1" w:themeTint="D9"/>
        </w:rPr>
        <w:t xml:space="preserve">shall </w:t>
      </w:r>
      <w:r w:rsidRPr="009E6A95">
        <w:rPr>
          <w:color w:val="262626" w:themeColor="text1" w:themeTint="D9"/>
        </w:rPr>
        <w:t xml:space="preserve">be estimated using a combined </w:t>
      </w:r>
      <w:r w:rsidR="00647847" w:rsidRPr="009E6A95">
        <w:rPr>
          <w:color w:val="262626" w:themeColor="text1" w:themeTint="D9"/>
        </w:rPr>
        <w:t>uncertainty</w:t>
      </w:r>
      <w:r w:rsidRPr="009E6A95">
        <w:rPr>
          <w:color w:val="262626" w:themeColor="text1" w:themeTint="D9"/>
        </w:rPr>
        <w:t xml:space="preserve"> propagation of the PU of the </w:t>
      </w:r>
      <w:r w:rsidR="006858F2" w:rsidRPr="009E6A95">
        <w:rPr>
          <w:color w:val="262626" w:themeColor="text1" w:themeTint="D9"/>
        </w:rPr>
        <w:t xml:space="preserve">constrained survey control </w:t>
      </w:r>
      <w:r w:rsidRPr="009E6A95">
        <w:rPr>
          <w:color w:val="262626" w:themeColor="text1" w:themeTint="D9"/>
        </w:rPr>
        <w:t xml:space="preserve">marks and the </w:t>
      </w:r>
      <w:r w:rsidR="003168AA" w:rsidRPr="009E6A95">
        <w:rPr>
          <w:color w:val="262626" w:themeColor="text1" w:themeTint="D9"/>
        </w:rPr>
        <w:t>SU</w:t>
      </w:r>
      <w:r w:rsidRPr="009E6A95">
        <w:rPr>
          <w:color w:val="262626" w:themeColor="text1" w:themeTint="D9"/>
        </w:rPr>
        <w:t xml:space="preserve"> of the </w:t>
      </w:r>
      <w:r w:rsidR="00647847" w:rsidRPr="009E6A95">
        <w:rPr>
          <w:color w:val="262626" w:themeColor="text1" w:themeTint="D9"/>
        </w:rPr>
        <w:t xml:space="preserve">control </w:t>
      </w:r>
      <w:r w:rsidRPr="009E6A95">
        <w:rPr>
          <w:color w:val="262626" w:themeColor="text1" w:themeTint="D9"/>
        </w:rPr>
        <w:t>survey</w:t>
      </w:r>
      <w:r w:rsidR="00EA1158" w:rsidRPr="009E6A95">
        <w:rPr>
          <w:color w:val="262626" w:themeColor="text1" w:themeTint="D9"/>
        </w:rPr>
        <w:t>.</w:t>
      </w:r>
    </w:p>
    <w:p w:rsidR="00F32C9D" w:rsidRPr="00BA4555" w:rsidRDefault="00A522EF" w:rsidP="00F32C9D">
      <w:pPr>
        <w:pStyle w:val="Heading2"/>
        <w:rPr>
          <w:color w:val="4F6228" w:themeColor="accent3" w:themeShade="80"/>
        </w:rPr>
      </w:pPr>
      <w:bookmarkStart w:id="62" w:name="_Toc266195786"/>
      <w:bookmarkStart w:id="63" w:name="_Ref282589648"/>
      <w:bookmarkStart w:id="64" w:name="_Toc399489514"/>
      <w:bookmarkEnd w:id="62"/>
      <w:r w:rsidRPr="00BA4555">
        <w:rPr>
          <w:color w:val="4F6228" w:themeColor="accent3" w:themeShade="80"/>
        </w:rPr>
        <w:t>E</w:t>
      </w:r>
      <w:r w:rsidR="00F32C9D" w:rsidRPr="00BA4555">
        <w:rPr>
          <w:color w:val="4F6228" w:themeColor="accent3" w:themeShade="80"/>
        </w:rPr>
        <w:t>xpression of uncertainty</w:t>
      </w:r>
      <w:bookmarkEnd w:id="63"/>
      <w:bookmarkEnd w:id="64"/>
    </w:p>
    <w:p w:rsidR="00C721E2" w:rsidRPr="00BA4555" w:rsidRDefault="00040711" w:rsidP="000E09FC">
      <w:pPr>
        <w:pStyle w:val="Heading3"/>
        <w:rPr>
          <w:color w:val="4F6228" w:themeColor="accent3" w:themeShade="80"/>
        </w:rPr>
      </w:pPr>
      <w:bookmarkStart w:id="65" w:name="_Ref334003273"/>
      <w:bookmarkStart w:id="66" w:name="_Toc399489515"/>
      <w:r w:rsidRPr="00BA4555">
        <w:rPr>
          <w:color w:val="4F6228" w:themeColor="accent3" w:themeShade="80"/>
        </w:rPr>
        <w:t>One, t</w:t>
      </w:r>
      <w:r w:rsidR="00410A8D" w:rsidRPr="00BA4555">
        <w:rPr>
          <w:color w:val="4F6228" w:themeColor="accent3" w:themeShade="80"/>
        </w:rPr>
        <w:t xml:space="preserve">wo </w:t>
      </w:r>
      <w:r w:rsidR="00732415" w:rsidRPr="00BA4555">
        <w:rPr>
          <w:color w:val="4F6228" w:themeColor="accent3" w:themeShade="80"/>
        </w:rPr>
        <w:t>and</w:t>
      </w:r>
      <w:r w:rsidR="00410A8D" w:rsidRPr="00BA4555">
        <w:rPr>
          <w:color w:val="4F6228" w:themeColor="accent3" w:themeShade="80"/>
        </w:rPr>
        <w:t xml:space="preserve"> three dimensional</w:t>
      </w:r>
      <w:r w:rsidR="006F1645" w:rsidRPr="00BA4555">
        <w:rPr>
          <w:color w:val="4F6228" w:themeColor="accent3" w:themeShade="80"/>
        </w:rPr>
        <w:t xml:space="preserve"> </w:t>
      </w:r>
      <w:r w:rsidR="004D5A3F" w:rsidRPr="00BA4555">
        <w:rPr>
          <w:color w:val="4F6228" w:themeColor="accent3" w:themeShade="80"/>
        </w:rPr>
        <w:t>uncertainty</w:t>
      </w:r>
      <w:bookmarkEnd w:id="65"/>
      <w:bookmarkEnd w:id="66"/>
    </w:p>
    <w:p w:rsidR="00B45BF8" w:rsidRPr="009E6A95" w:rsidRDefault="00D202CF" w:rsidP="00A522EF">
      <w:pPr>
        <w:rPr>
          <w:color w:val="262626" w:themeColor="text1" w:themeTint="D9"/>
        </w:rPr>
      </w:pPr>
      <w:r w:rsidRPr="009E6A95">
        <w:rPr>
          <w:color w:val="262626" w:themeColor="text1" w:themeTint="D9"/>
        </w:rPr>
        <w:t xml:space="preserve">When reporting the </w:t>
      </w:r>
      <w:r w:rsidR="00BB310B" w:rsidRPr="009E6A95">
        <w:rPr>
          <w:color w:val="262626" w:themeColor="text1" w:themeTint="D9"/>
        </w:rPr>
        <w:t xml:space="preserve">absolute </w:t>
      </w:r>
      <w:r w:rsidR="005D15D7" w:rsidRPr="009E6A95">
        <w:rPr>
          <w:color w:val="262626" w:themeColor="text1" w:themeTint="D9"/>
        </w:rPr>
        <w:t xml:space="preserve">(SU, PU) </w:t>
      </w:r>
      <w:r w:rsidR="00BB310B" w:rsidRPr="009E6A95">
        <w:rPr>
          <w:color w:val="262626" w:themeColor="text1" w:themeTint="D9"/>
        </w:rPr>
        <w:t xml:space="preserve">or relative </w:t>
      </w:r>
      <w:r w:rsidR="005D15D7" w:rsidRPr="009E6A95">
        <w:rPr>
          <w:color w:val="262626" w:themeColor="text1" w:themeTint="D9"/>
        </w:rPr>
        <w:t xml:space="preserve">(RU) </w:t>
      </w:r>
      <w:r w:rsidR="00284E03" w:rsidRPr="009E6A95">
        <w:rPr>
          <w:color w:val="262626" w:themeColor="text1" w:themeTint="D9"/>
        </w:rPr>
        <w:t xml:space="preserve">uncertainty of </w:t>
      </w:r>
      <w:r w:rsidRPr="009E6A95">
        <w:rPr>
          <w:color w:val="262626" w:themeColor="text1" w:themeTint="D9"/>
        </w:rPr>
        <w:t>survey control marks</w:t>
      </w:r>
      <w:r w:rsidR="00732415" w:rsidRPr="009E6A95">
        <w:rPr>
          <w:color w:val="262626" w:themeColor="text1" w:themeTint="D9"/>
        </w:rPr>
        <w:t xml:space="preserve"> in </w:t>
      </w:r>
      <w:r w:rsidR="00040711" w:rsidRPr="009E6A95">
        <w:rPr>
          <w:color w:val="262626" w:themeColor="text1" w:themeTint="D9"/>
        </w:rPr>
        <w:t xml:space="preserve">one, </w:t>
      </w:r>
      <w:r w:rsidR="00732415" w:rsidRPr="009E6A95">
        <w:rPr>
          <w:color w:val="262626" w:themeColor="text1" w:themeTint="D9"/>
        </w:rPr>
        <w:t>two or three dimensions</w:t>
      </w:r>
      <w:r w:rsidRPr="009E6A95">
        <w:rPr>
          <w:color w:val="262626" w:themeColor="text1" w:themeTint="D9"/>
        </w:rPr>
        <w:t xml:space="preserve">, </w:t>
      </w:r>
      <w:r w:rsidR="001454F3" w:rsidRPr="009E6A95">
        <w:rPr>
          <w:color w:val="262626" w:themeColor="text1" w:themeTint="D9"/>
        </w:rPr>
        <w:t xml:space="preserve">ICSM recommends </w:t>
      </w:r>
      <w:r w:rsidR="00BC3365" w:rsidRPr="009E6A95">
        <w:rPr>
          <w:color w:val="262626" w:themeColor="text1" w:themeTint="D9"/>
        </w:rPr>
        <w:t xml:space="preserve">that </w:t>
      </w:r>
      <w:r w:rsidR="00EB7162" w:rsidRPr="009E6A95">
        <w:rPr>
          <w:color w:val="262626" w:themeColor="text1" w:themeTint="D9"/>
        </w:rPr>
        <w:t>uncertainty</w:t>
      </w:r>
      <w:r w:rsidR="00902D98" w:rsidRPr="009E6A95">
        <w:rPr>
          <w:color w:val="262626" w:themeColor="text1" w:themeTint="D9"/>
        </w:rPr>
        <w:t xml:space="preserve"> </w:t>
      </w:r>
      <w:r w:rsidR="001454F3" w:rsidRPr="009E6A95">
        <w:rPr>
          <w:color w:val="262626" w:themeColor="text1" w:themeTint="D9"/>
        </w:rPr>
        <w:t xml:space="preserve">be expressed </w:t>
      </w:r>
      <w:r w:rsidR="00902D98" w:rsidRPr="009E6A95">
        <w:rPr>
          <w:color w:val="262626" w:themeColor="text1" w:themeTint="D9"/>
        </w:rPr>
        <w:t xml:space="preserve">in terms of </w:t>
      </w:r>
      <w:r w:rsidR="00EB7162" w:rsidRPr="009E6A95">
        <w:rPr>
          <w:color w:val="262626" w:themeColor="text1" w:themeTint="D9"/>
        </w:rPr>
        <w:t xml:space="preserve">standard deviations or </w:t>
      </w:r>
      <w:r w:rsidR="00902D98" w:rsidRPr="009E6A95">
        <w:rPr>
          <w:color w:val="262626" w:themeColor="text1" w:themeTint="D9"/>
        </w:rPr>
        <w:t>the standard error ellipse</w:t>
      </w:r>
      <w:r w:rsidR="00732415" w:rsidRPr="009E6A95">
        <w:rPr>
          <w:color w:val="262626" w:themeColor="text1" w:themeTint="D9"/>
        </w:rPr>
        <w:t>/ellipsoid</w:t>
      </w:r>
      <w:r w:rsidR="00902D98" w:rsidRPr="009E6A95">
        <w:rPr>
          <w:color w:val="262626" w:themeColor="text1" w:themeTint="D9"/>
        </w:rPr>
        <w:t xml:space="preserve">. ICSM </w:t>
      </w:r>
      <w:r w:rsidR="00EB7162" w:rsidRPr="009E6A95">
        <w:rPr>
          <w:color w:val="262626" w:themeColor="text1" w:themeTint="D9"/>
        </w:rPr>
        <w:t xml:space="preserve">has </w:t>
      </w:r>
      <w:r w:rsidR="00902D98" w:rsidRPr="009E6A95">
        <w:rPr>
          <w:color w:val="262626" w:themeColor="text1" w:themeTint="D9"/>
        </w:rPr>
        <w:t xml:space="preserve">also </w:t>
      </w:r>
      <w:r w:rsidR="00EB7162" w:rsidRPr="009E6A95">
        <w:rPr>
          <w:color w:val="262626" w:themeColor="text1" w:themeTint="D9"/>
        </w:rPr>
        <w:t>adopted</w:t>
      </w:r>
      <w:r w:rsidR="00902D98" w:rsidRPr="009E6A95">
        <w:rPr>
          <w:color w:val="262626" w:themeColor="text1" w:themeTint="D9"/>
        </w:rPr>
        <w:t xml:space="preserve"> the circular confidence region</w:t>
      </w:r>
      <w:r w:rsidR="00EB7162" w:rsidRPr="009E6A95">
        <w:rPr>
          <w:color w:val="262626" w:themeColor="text1" w:themeTint="D9"/>
        </w:rPr>
        <w:t xml:space="preserve"> as a means for expressing</w:t>
      </w:r>
      <w:r w:rsidR="00706D5B" w:rsidRPr="009E6A95">
        <w:rPr>
          <w:color w:val="262626" w:themeColor="text1" w:themeTint="D9"/>
        </w:rPr>
        <w:t xml:space="preserve"> horizontal</w:t>
      </w:r>
      <w:r w:rsidR="00A80A4C" w:rsidRPr="009E6A95">
        <w:rPr>
          <w:color w:val="262626" w:themeColor="text1" w:themeTint="D9"/>
        </w:rPr>
        <w:t xml:space="preserve"> </w:t>
      </w:r>
      <w:r w:rsidR="00EB7162" w:rsidRPr="009E6A95">
        <w:rPr>
          <w:color w:val="262626" w:themeColor="text1" w:themeTint="D9"/>
        </w:rPr>
        <w:t>uncertainty, since t</w:t>
      </w:r>
      <w:r w:rsidR="00902D98" w:rsidRPr="009E6A95">
        <w:rPr>
          <w:color w:val="262626" w:themeColor="text1" w:themeTint="D9"/>
        </w:rPr>
        <w:t>he circular confidence region enables the quality of control surveys to be expressed in a way that is compatible with other geospatial datasets</w:t>
      </w:r>
      <w:r w:rsidR="00EA1158" w:rsidRPr="009E6A95">
        <w:rPr>
          <w:color w:val="262626" w:themeColor="text1" w:themeTint="D9"/>
        </w:rPr>
        <w:t xml:space="preserve">. </w:t>
      </w:r>
    </w:p>
    <w:p w:rsidR="00027EEA" w:rsidRPr="009E6A95" w:rsidRDefault="00CA2CC9" w:rsidP="00A522EF">
      <w:pPr>
        <w:rPr>
          <w:color w:val="262626" w:themeColor="text1" w:themeTint="D9"/>
        </w:rPr>
      </w:pPr>
      <w:r w:rsidRPr="009E6A95">
        <w:rPr>
          <w:color w:val="262626" w:themeColor="text1" w:themeTint="D9"/>
        </w:rPr>
        <w:t xml:space="preserve">Therefore, </w:t>
      </w:r>
      <w:r w:rsidR="005B271A" w:rsidRPr="009E6A95">
        <w:rPr>
          <w:color w:val="262626" w:themeColor="text1" w:themeTint="D9"/>
        </w:rPr>
        <w:t xml:space="preserve">one, </w:t>
      </w:r>
      <w:r w:rsidR="00542E6E" w:rsidRPr="009E6A95">
        <w:rPr>
          <w:color w:val="262626" w:themeColor="text1" w:themeTint="D9"/>
        </w:rPr>
        <w:t xml:space="preserve">two </w:t>
      </w:r>
      <w:r w:rsidR="00A80A4C" w:rsidRPr="009E6A95">
        <w:rPr>
          <w:color w:val="262626" w:themeColor="text1" w:themeTint="D9"/>
        </w:rPr>
        <w:t xml:space="preserve">and three dimensional </w:t>
      </w:r>
      <w:r w:rsidR="00A522EF" w:rsidRPr="009E6A95">
        <w:rPr>
          <w:color w:val="262626" w:themeColor="text1" w:themeTint="D9"/>
        </w:rPr>
        <w:t xml:space="preserve">uncertainty </w:t>
      </w:r>
      <w:r w:rsidR="004163F9" w:rsidRPr="009E6A95">
        <w:rPr>
          <w:color w:val="262626" w:themeColor="text1" w:themeTint="D9"/>
        </w:rPr>
        <w:t xml:space="preserve">shall </w:t>
      </w:r>
      <w:r w:rsidR="00DA3714" w:rsidRPr="009E6A95">
        <w:rPr>
          <w:color w:val="262626" w:themeColor="text1" w:themeTint="D9"/>
        </w:rPr>
        <w:t>be</w:t>
      </w:r>
      <w:r w:rsidR="00A522EF" w:rsidRPr="009E6A95">
        <w:rPr>
          <w:color w:val="262626" w:themeColor="text1" w:themeTint="D9"/>
        </w:rPr>
        <w:t xml:space="preserve"> expressed in </w:t>
      </w:r>
      <w:r w:rsidR="005D1F6F" w:rsidRPr="009E6A95">
        <w:rPr>
          <w:color w:val="262626" w:themeColor="text1" w:themeTint="D9"/>
        </w:rPr>
        <w:t>terms of</w:t>
      </w:r>
      <w:r w:rsidR="00994CF8" w:rsidRPr="009E6A95">
        <w:rPr>
          <w:color w:val="262626" w:themeColor="text1" w:themeTint="D9"/>
        </w:rPr>
        <w:t xml:space="preserve"> </w:t>
      </w:r>
      <w:r w:rsidR="00706D5B" w:rsidRPr="009E6A95">
        <w:rPr>
          <w:color w:val="262626" w:themeColor="text1" w:themeTint="D9"/>
        </w:rPr>
        <w:t xml:space="preserve">the 95% confidence </w:t>
      </w:r>
      <w:r w:rsidR="008E6291" w:rsidRPr="009E6A95">
        <w:rPr>
          <w:color w:val="262626" w:themeColor="text1" w:themeTint="D9"/>
        </w:rPr>
        <w:t xml:space="preserve">level </w:t>
      </w:r>
      <w:r w:rsidR="00706D5B" w:rsidRPr="009E6A95">
        <w:rPr>
          <w:color w:val="262626" w:themeColor="text1" w:themeTint="D9"/>
        </w:rPr>
        <w:t xml:space="preserve">using </w:t>
      </w:r>
      <w:r w:rsidR="00994CF8" w:rsidRPr="009E6A95">
        <w:rPr>
          <w:color w:val="262626" w:themeColor="text1" w:themeTint="D9"/>
        </w:rPr>
        <w:t>any</w:t>
      </w:r>
      <w:r w:rsidR="005D1F6F" w:rsidRPr="009E6A95">
        <w:rPr>
          <w:color w:val="262626" w:themeColor="text1" w:themeTint="D9"/>
        </w:rPr>
        <w:t xml:space="preserve"> </w:t>
      </w:r>
      <w:r w:rsidR="00027EEA" w:rsidRPr="009E6A95">
        <w:rPr>
          <w:color w:val="262626" w:themeColor="text1" w:themeTint="D9"/>
        </w:rPr>
        <w:t>one of the following</w:t>
      </w:r>
      <w:r w:rsidR="00542E6E" w:rsidRPr="009E6A95">
        <w:rPr>
          <w:color w:val="262626" w:themeColor="text1" w:themeTint="D9"/>
        </w:rPr>
        <w:t xml:space="preserve"> as appropriate</w:t>
      </w:r>
      <w:r w:rsidR="00027EEA" w:rsidRPr="009E6A95">
        <w:rPr>
          <w:color w:val="262626" w:themeColor="text1" w:themeTint="D9"/>
        </w:rPr>
        <w:t>:</w:t>
      </w:r>
    </w:p>
    <w:p w:rsidR="00027EEA" w:rsidRPr="009E6A95" w:rsidRDefault="00D1411F" w:rsidP="00D1411F">
      <w:pPr>
        <w:pStyle w:val="Itemisedlist1"/>
        <w:numPr>
          <w:ilvl w:val="0"/>
          <w:numId w:val="18"/>
        </w:numPr>
        <w:jc w:val="left"/>
        <w:rPr>
          <w:color w:val="262626" w:themeColor="text1" w:themeTint="D9"/>
        </w:rPr>
      </w:pPr>
      <w:r>
        <w:rPr>
          <w:color w:val="262626" w:themeColor="text1" w:themeTint="D9"/>
        </w:rPr>
        <w:t>s</w:t>
      </w:r>
      <w:r w:rsidR="00027EEA" w:rsidRPr="009E6A95">
        <w:rPr>
          <w:color w:val="262626" w:themeColor="text1" w:themeTint="D9"/>
        </w:rPr>
        <w:t>tandard deviations</w:t>
      </w:r>
      <w:r w:rsidR="007770EB">
        <w:rPr>
          <w:color w:val="262626" w:themeColor="text1" w:themeTint="D9"/>
        </w:rPr>
        <w:t>;</w:t>
      </w:r>
    </w:p>
    <w:p w:rsidR="00027EEA" w:rsidRPr="009E6A95" w:rsidRDefault="00D1411F" w:rsidP="00D1411F">
      <w:pPr>
        <w:pStyle w:val="Itemisedlist1"/>
        <w:numPr>
          <w:ilvl w:val="0"/>
          <w:numId w:val="18"/>
        </w:numPr>
        <w:jc w:val="left"/>
        <w:rPr>
          <w:color w:val="262626" w:themeColor="text1" w:themeTint="D9"/>
        </w:rPr>
      </w:pPr>
      <w:r>
        <w:rPr>
          <w:color w:val="262626" w:themeColor="text1" w:themeTint="D9"/>
        </w:rPr>
        <w:t>s</w:t>
      </w:r>
      <w:r w:rsidR="00027EEA" w:rsidRPr="009E6A95">
        <w:rPr>
          <w:color w:val="262626" w:themeColor="text1" w:themeTint="D9"/>
        </w:rPr>
        <w:t>tandard error ellipse</w:t>
      </w:r>
      <w:r w:rsidR="00542E6E" w:rsidRPr="009E6A95">
        <w:rPr>
          <w:color w:val="262626" w:themeColor="text1" w:themeTint="D9"/>
        </w:rPr>
        <w:t>/ellipsoid</w:t>
      </w:r>
      <w:r w:rsidR="007770EB">
        <w:rPr>
          <w:color w:val="262626" w:themeColor="text1" w:themeTint="D9"/>
        </w:rPr>
        <w:t>; or</w:t>
      </w:r>
    </w:p>
    <w:p w:rsidR="00027EEA" w:rsidRPr="009E6A95" w:rsidRDefault="00D1411F" w:rsidP="00D1411F">
      <w:pPr>
        <w:pStyle w:val="Itemisedlist1"/>
        <w:numPr>
          <w:ilvl w:val="0"/>
          <w:numId w:val="18"/>
        </w:numPr>
        <w:jc w:val="left"/>
        <w:rPr>
          <w:color w:val="262626" w:themeColor="text1" w:themeTint="D9"/>
        </w:rPr>
      </w:pPr>
      <w:proofErr w:type="gramStart"/>
      <w:r>
        <w:rPr>
          <w:color w:val="262626" w:themeColor="text1" w:themeTint="D9"/>
        </w:rPr>
        <w:t>h</w:t>
      </w:r>
      <w:r w:rsidR="00542E6E" w:rsidRPr="009E6A95">
        <w:rPr>
          <w:color w:val="262626" w:themeColor="text1" w:themeTint="D9"/>
        </w:rPr>
        <w:t>orizontal</w:t>
      </w:r>
      <w:proofErr w:type="gramEnd"/>
      <w:r w:rsidR="00542E6E" w:rsidRPr="009E6A95">
        <w:rPr>
          <w:color w:val="262626" w:themeColor="text1" w:themeTint="D9"/>
        </w:rPr>
        <w:t xml:space="preserve"> c</w:t>
      </w:r>
      <w:r w:rsidR="00027EEA" w:rsidRPr="009E6A95">
        <w:rPr>
          <w:color w:val="262626" w:themeColor="text1" w:themeTint="D9"/>
        </w:rPr>
        <w:t>ircular confidence region</w:t>
      </w:r>
      <w:r>
        <w:rPr>
          <w:color w:val="262626" w:themeColor="text1" w:themeTint="D9"/>
        </w:rPr>
        <w:t>.</w:t>
      </w:r>
    </w:p>
    <w:p w:rsidR="00706D5B" w:rsidRPr="009E6A95" w:rsidRDefault="00706D5B" w:rsidP="00706D5B">
      <w:pPr>
        <w:rPr>
          <w:color w:val="262626" w:themeColor="text1" w:themeTint="D9"/>
        </w:rPr>
      </w:pPr>
      <w:r w:rsidRPr="009E6A95">
        <w:rPr>
          <w:rFonts w:eastAsia="Lucida Sans Unicode"/>
          <w:color w:val="262626" w:themeColor="text1" w:themeTint="D9"/>
          <w:lang w:eastAsia="ar-SA"/>
        </w:rPr>
        <w:t xml:space="preserve">Refer to the </w:t>
      </w:r>
      <w:r w:rsidRPr="009E6A95">
        <w:rPr>
          <w:i/>
          <w:color w:val="262626" w:themeColor="text1" w:themeTint="D9"/>
        </w:rPr>
        <w:t>Guideline for the Adjustment</w:t>
      </w:r>
      <w:r w:rsidR="00C8728D" w:rsidRPr="009E6A95">
        <w:rPr>
          <w:i/>
          <w:color w:val="262626" w:themeColor="text1" w:themeTint="D9"/>
        </w:rPr>
        <w:t xml:space="preserve"> and</w:t>
      </w:r>
      <w:r w:rsidRPr="009E6A95">
        <w:rPr>
          <w:i/>
          <w:color w:val="262626" w:themeColor="text1" w:themeTint="D9"/>
        </w:rPr>
        <w:t xml:space="preserve"> </w:t>
      </w:r>
      <w:r w:rsidR="00BA3711" w:rsidRPr="009E6A95">
        <w:rPr>
          <w:i/>
          <w:color w:val="262626" w:themeColor="text1" w:themeTint="D9"/>
        </w:rPr>
        <w:t>Evaluation</w:t>
      </w:r>
      <w:r w:rsidRPr="009E6A95">
        <w:rPr>
          <w:i/>
          <w:color w:val="262626" w:themeColor="text1" w:themeTint="D9"/>
        </w:rPr>
        <w:t xml:space="preserve"> of Survey Control</w:t>
      </w:r>
      <w:r w:rsidRPr="009E6A95">
        <w:rPr>
          <w:color w:val="262626" w:themeColor="text1" w:themeTint="D9"/>
        </w:rPr>
        <w:t xml:space="preserve"> for ICSM’s recommended procedure for calculating the </w:t>
      </w:r>
      <w:r w:rsidR="00542E6E" w:rsidRPr="009E6A95">
        <w:rPr>
          <w:color w:val="262626" w:themeColor="text1" w:themeTint="D9"/>
        </w:rPr>
        <w:t xml:space="preserve">horizontal </w:t>
      </w:r>
      <w:r w:rsidRPr="009E6A95">
        <w:rPr>
          <w:color w:val="262626" w:themeColor="text1" w:themeTint="D9"/>
        </w:rPr>
        <w:t>circular confidence region.</w:t>
      </w:r>
    </w:p>
    <w:p w:rsidR="00A83B78" w:rsidRPr="00BA4555" w:rsidRDefault="005B271A" w:rsidP="00A83B78">
      <w:pPr>
        <w:pStyle w:val="Heading3"/>
        <w:rPr>
          <w:color w:val="4F6228" w:themeColor="accent3" w:themeShade="80"/>
        </w:rPr>
      </w:pPr>
      <w:bookmarkStart w:id="67" w:name="_Toc266195792"/>
      <w:bookmarkStart w:id="68" w:name="_Toc266195793"/>
      <w:bookmarkStart w:id="69" w:name="_Toc266195794"/>
      <w:bookmarkStart w:id="70" w:name="_Toc266195795"/>
      <w:bookmarkStart w:id="71" w:name="_Toc266195796"/>
      <w:bookmarkStart w:id="72" w:name="_Toc266195797"/>
      <w:bookmarkStart w:id="73" w:name="_Ref334003274"/>
      <w:bookmarkStart w:id="74" w:name="_Toc399489516"/>
      <w:bookmarkEnd w:id="67"/>
      <w:bookmarkEnd w:id="68"/>
      <w:bookmarkEnd w:id="69"/>
      <w:bookmarkEnd w:id="70"/>
      <w:bookmarkEnd w:id="71"/>
      <w:bookmarkEnd w:id="72"/>
      <w:r w:rsidRPr="00BA4555">
        <w:rPr>
          <w:color w:val="4F6228" w:themeColor="accent3" w:themeShade="80"/>
        </w:rPr>
        <w:t xml:space="preserve">AHD </w:t>
      </w:r>
      <w:r w:rsidR="00A83B78" w:rsidRPr="00BA4555">
        <w:rPr>
          <w:color w:val="4F6228" w:themeColor="accent3" w:themeShade="80"/>
        </w:rPr>
        <w:t>uncertainty</w:t>
      </w:r>
      <w:bookmarkEnd w:id="73"/>
      <w:bookmarkEnd w:id="74"/>
    </w:p>
    <w:p w:rsidR="0089614F" w:rsidRPr="0089614F" w:rsidRDefault="0089614F" w:rsidP="0089614F">
      <w:pPr>
        <w:rPr>
          <w:iCs/>
          <w:szCs w:val="23"/>
        </w:rPr>
      </w:pPr>
      <w:r w:rsidRPr="0089614F">
        <w:rPr>
          <w:iCs/>
          <w:szCs w:val="23"/>
        </w:rPr>
        <w:t>For the purpose of this Standard the heights of the levelling junction points of the Australian National Levelling Network (ANLN) are treated as a reference standard with zero PU. Therefore, SU and RU can be used to evaluate or specify the uncertainty of survey control marks relative to any AHD mark</w:t>
      </w:r>
      <w:r w:rsidR="00484903">
        <w:rPr>
          <w:iCs/>
          <w:szCs w:val="23"/>
        </w:rPr>
        <w:t>,</w:t>
      </w:r>
      <w:r w:rsidRPr="0089614F">
        <w:rPr>
          <w:iCs/>
          <w:szCs w:val="23"/>
        </w:rPr>
        <w:t xml:space="preserve"> but PU can only be evaluated for those marks with a well understood connection to the ANLN.</w:t>
      </w:r>
    </w:p>
    <w:p w:rsidR="00A16A00" w:rsidRPr="009E6A95" w:rsidRDefault="00A16A00" w:rsidP="0089614F">
      <w:pPr>
        <w:rPr>
          <w:color w:val="262626" w:themeColor="text1" w:themeTint="D9"/>
        </w:rPr>
      </w:pPr>
    </w:p>
    <w:sectPr w:rsidR="00A16A00" w:rsidRPr="009E6A95" w:rsidSect="0074523F">
      <w:headerReference w:type="even" r:id="rId16"/>
      <w:headerReference w:type="default" r:id="rId17"/>
      <w:footerReference w:type="default" r:id="rId18"/>
      <w:headerReference w:type="first" r:id="rId19"/>
      <w:footerReference w:type="first" r:id="rId20"/>
      <w:pgSz w:w="11906" w:h="16838"/>
      <w:pgMar w:top="1380" w:right="1559" w:bottom="1440" w:left="179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BD" w:rsidRDefault="006106BD">
      <w:r>
        <w:separator/>
      </w:r>
    </w:p>
  </w:endnote>
  <w:endnote w:type="continuationSeparator" w:id="0">
    <w:p w:rsidR="006106BD" w:rsidRDefault="00610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Copperplate Gothic Bold">
    <w:altName w:val="ESRI Geology BMRGG PT1"/>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623A69" w:rsidP="00714F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Pr="00FE58D2" w:rsidRDefault="00754E02" w:rsidP="009B73AC">
    <w:pPr>
      <w:pStyle w:val="Footer"/>
      <w:tabs>
        <w:tab w:val="clear" w:pos="4153"/>
        <w:tab w:val="clear" w:pos="8306"/>
        <w:tab w:val="right" w:pos="8505"/>
      </w:tabs>
    </w:pPr>
    <w:r>
      <w:fldChar w:fldCharType="begin"/>
    </w:r>
    <w:r>
      <w:instrText xml:space="preserve"> docproperty "Document name" \* MERGEFORMAT </w:instrText>
    </w:r>
    <w:r>
      <w:fldChar w:fldCharType="separate"/>
    </w:r>
    <w:r w:rsidR="006F246B">
      <w:t>Standard for the Australian Survey Control Network – SP1</w:t>
    </w:r>
    <w:r>
      <w:fldChar w:fldCharType="end"/>
    </w:r>
    <w:r w:rsidR="00623A69">
      <w:tab/>
    </w:r>
    <w:r w:rsidR="00623A69">
      <w:fldChar w:fldCharType="begin"/>
    </w:r>
    <w:r w:rsidR="00623A69">
      <w:instrText xml:space="preserve"> PAGE  \* roman </w:instrText>
    </w:r>
    <w:r w:rsidR="00623A69">
      <w:fldChar w:fldCharType="separate"/>
    </w:r>
    <w:r>
      <w:rPr>
        <w:noProof/>
      </w:rPr>
      <w:t>vi</w:t>
    </w:r>
    <w:r w:rsidR="00623A69">
      <w:fldChar w:fldCharType="end"/>
    </w:r>
  </w:p>
  <w:p w:rsidR="00623A69" w:rsidRDefault="00754E02" w:rsidP="009B73AC">
    <w:pPr>
      <w:pStyle w:val="Footer"/>
      <w:tabs>
        <w:tab w:val="clear" w:pos="4153"/>
        <w:tab w:val="clear" w:pos="8306"/>
        <w:tab w:val="right" w:pos="8505"/>
      </w:tabs>
    </w:pPr>
    <w:r>
      <w:fldChar w:fldCharType="begin"/>
    </w:r>
    <w:r>
      <w:instrText xml:space="preserve"> docproperty "version" \* MERGEFORMAT </w:instrText>
    </w:r>
    <w:r>
      <w:fldChar w:fldCharType="separate"/>
    </w:r>
    <w:r w:rsidR="006F246B">
      <w:t>Version 2.1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754E02" w:rsidP="009B73AC">
    <w:pPr>
      <w:pStyle w:val="Footer"/>
      <w:tabs>
        <w:tab w:val="clear" w:pos="4153"/>
        <w:tab w:val="clear" w:pos="8306"/>
        <w:tab w:val="right" w:pos="8505"/>
      </w:tabs>
    </w:pPr>
    <w:r>
      <w:fldChar w:fldCharType="begin"/>
    </w:r>
    <w:r>
      <w:instrText xml:space="preserve"> docproperty "Document name" \* MERGEFORMAT </w:instrText>
    </w:r>
    <w:r>
      <w:fldChar w:fldCharType="separate"/>
    </w:r>
    <w:r w:rsidR="006F246B">
      <w:t>Standard for the Australian Survey Control Network – SP1</w:t>
    </w:r>
    <w:r>
      <w:fldChar w:fldCharType="end"/>
    </w:r>
    <w:r w:rsidR="00623A69">
      <w:tab/>
    </w:r>
    <w:r w:rsidR="00623A69">
      <w:rPr>
        <w:rStyle w:val="PageNumber"/>
      </w:rPr>
      <w:fldChar w:fldCharType="begin"/>
    </w:r>
    <w:r w:rsidR="00623A69">
      <w:rPr>
        <w:rStyle w:val="PageNumber"/>
      </w:rPr>
      <w:instrText xml:space="preserve"> PAGE </w:instrText>
    </w:r>
    <w:r w:rsidR="00623A69">
      <w:rPr>
        <w:rStyle w:val="PageNumber"/>
      </w:rPr>
      <w:fldChar w:fldCharType="separate"/>
    </w:r>
    <w:r>
      <w:rPr>
        <w:rStyle w:val="PageNumber"/>
        <w:noProof/>
      </w:rPr>
      <w:t>7</w:t>
    </w:r>
    <w:r w:rsidR="00623A69">
      <w:rPr>
        <w:rStyle w:val="PageNumber"/>
      </w:rPr>
      <w:fldChar w:fldCharType="end"/>
    </w:r>
  </w:p>
  <w:p w:rsidR="00623A69" w:rsidRDefault="00754E02" w:rsidP="009B73AC">
    <w:pPr>
      <w:pStyle w:val="Footer"/>
      <w:tabs>
        <w:tab w:val="clear" w:pos="4153"/>
        <w:tab w:val="clear" w:pos="8306"/>
        <w:tab w:val="right" w:pos="8505"/>
      </w:tabs>
    </w:pPr>
    <w:r>
      <w:fldChar w:fldCharType="begin"/>
    </w:r>
    <w:r>
      <w:instrText xml:space="preserve"> docproperty "version" \* MERGEFORMAT </w:instrText>
    </w:r>
    <w:r>
      <w:fldChar w:fldCharType="separate"/>
    </w:r>
    <w:r w:rsidR="006F246B">
      <w:t>Version 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754E02" w:rsidP="00486B89">
    <w:pPr>
      <w:pStyle w:val="Footer"/>
      <w:tabs>
        <w:tab w:val="clear" w:pos="4153"/>
        <w:tab w:val="clear" w:pos="8306"/>
        <w:tab w:val="right" w:pos="8505"/>
      </w:tabs>
    </w:pPr>
    <w:r>
      <w:fldChar w:fldCharType="begin"/>
    </w:r>
    <w:r>
      <w:instrText xml:space="preserve"> DocProperty "ICSM" \* MERGEFORMAT </w:instrText>
    </w:r>
    <w:r>
      <w:fldChar w:fldCharType="separate"/>
    </w:r>
    <w:r w:rsidR="006F246B">
      <w:t>Intergovernmental Committee on Surveying and Mapping</w:t>
    </w:r>
    <w:r>
      <w:fldChar w:fldCharType="end"/>
    </w:r>
    <w:r w:rsidR="00623A69">
      <w:tab/>
    </w:r>
    <w:r w:rsidR="00623A69">
      <w:fldChar w:fldCharType="begin"/>
    </w:r>
    <w:r w:rsidR="00623A69">
      <w:instrText xml:space="preserve"> PAGE </w:instrText>
    </w:r>
    <w:r w:rsidR="00623A69">
      <w:fldChar w:fldCharType="separate"/>
    </w:r>
    <w:r w:rsidR="006F246B">
      <w:rPr>
        <w:noProof/>
      </w:rPr>
      <w:t>7</w:t>
    </w:r>
    <w:r w:rsidR="00623A69">
      <w:fldChar w:fldCharType="end"/>
    </w:r>
  </w:p>
  <w:p w:rsidR="00623A69" w:rsidRPr="00FE58D2" w:rsidRDefault="00754E02" w:rsidP="00486B89">
    <w:pPr>
      <w:pStyle w:val="Footer"/>
      <w:tabs>
        <w:tab w:val="clear" w:pos="4153"/>
        <w:tab w:val="clear" w:pos="8306"/>
        <w:tab w:val="right" w:pos="8505"/>
      </w:tabs>
    </w:pPr>
    <w:r>
      <w:fldChar w:fldCharType="begin"/>
    </w:r>
    <w:r>
      <w:instrText xml:space="preserve"> docproperty "Document name" \* MERGEFORMAT </w:instrText>
    </w:r>
    <w:r>
      <w:fldChar w:fldCharType="separate"/>
    </w:r>
    <w:r w:rsidR="006F246B">
      <w:t>Standard for the Australian Survey Control Network – SP1</w:t>
    </w:r>
    <w:r>
      <w:fldChar w:fldCharType="end"/>
    </w:r>
  </w:p>
  <w:p w:rsidR="00623A69" w:rsidRDefault="00754E02" w:rsidP="00486B89">
    <w:pPr>
      <w:pStyle w:val="Footer"/>
      <w:tabs>
        <w:tab w:val="clear" w:pos="4153"/>
        <w:tab w:val="clear" w:pos="8306"/>
        <w:tab w:val="right" w:pos="8505"/>
      </w:tabs>
    </w:pPr>
    <w:r>
      <w:fldChar w:fldCharType="begin"/>
    </w:r>
    <w:r>
      <w:instrText xml:space="preserve"> docproperty "version" \* MERGEFORMAT </w:instrText>
    </w:r>
    <w:r>
      <w:fldChar w:fldCharType="separate"/>
    </w:r>
    <w:r w:rsidR="006F246B">
      <w:t>Version 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BD" w:rsidRDefault="006106BD">
      <w:r>
        <w:separator/>
      </w:r>
    </w:p>
  </w:footnote>
  <w:footnote w:type="continuationSeparator" w:id="0">
    <w:p w:rsidR="006106BD" w:rsidRDefault="006106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754E02" w:rsidP="00865962">
    <w:pPr>
      <w:pStyle w:val="HeaderImage"/>
      <w:tabs>
        <w:tab w:val="clear" w:pos="4153"/>
        <w:tab w:val="clear" w:pos="8306"/>
      </w:tabs>
    </w:pPr>
    <w:r>
      <w:fldChar w:fldCharType="begin"/>
    </w:r>
    <w:r>
      <w:instrText xml:space="preserve"> DocProperty "ICSM" \* MERGEFORMAT </w:instrText>
    </w:r>
    <w:r>
      <w:fldChar w:fldCharType="separate"/>
    </w:r>
    <w:r w:rsidR="006F246B">
      <w:t>Intergovernmental Committee on Surveying and Mapping</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Pr="00486B89" w:rsidRDefault="00623A69" w:rsidP="00486B89">
    <w:pPr>
      <w:pStyle w:val="HeaderImage"/>
      <w:tabs>
        <w:tab w:val="clear" w:pos="4153"/>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623A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754E02" w:rsidP="00865962">
    <w:pPr>
      <w:pStyle w:val="HeaderImage"/>
      <w:tabs>
        <w:tab w:val="clear" w:pos="4153"/>
        <w:tab w:val="clear" w:pos="8306"/>
      </w:tabs>
    </w:pPr>
    <w:r>
      <w:fldChar w:fldCharType="begin"/>
    </w:r>
    <w:r>
      <w:instrText xml:space="preserve"> DocProperty "ICSM" \* MERGEFORMAT </w:instrText>
    </w:r>
    <w:r>
      <w:fldChar w:fldCharType="separate"/>
    </w:r>
    <w:r w:rsidR="006F246B">
      <w:t>Intergovernmental Committee on Surveying and Mapping</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A69" w:rsidRDefault="00623A69" w:rsidP="001D6CAC">
    <w:pPr>
      <w:pStyle w:val="HeaderImage"/>
      <w:tabs>
        <w:tab w:val="clear" w:pos="4153"/>
        <w:tab w:val="clear" w:pos="8306"/>
      </w:tabs>
    </w:pPr>
    <w:r>
      <w:rPr>
        <w:noProof/>
      </w:rPr>
      <w:drawing>
        <wp:inline distT="0" distB="0" distL="0" distR="0">
          <wp:extent cx="1232535" cy="707390"/>
          <wp:effectExtent l="0" t="0" r="0" b="0"/>
          <wp:docPr id="1" name="Picture 1" descr="ICSM Logo 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M Logo S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7073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780EBF"/>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2">
    <w:nsid w:val="09262071"/>
    <w:multiLevelType w:val="multilevel"/>
    <w:tmpl w:val="7BB668B6"/>
    <w:lvl w:ilvl="0">
      <w:start w:val="1"/>
      <w:numFmt w:val="decimal"/>
      <w:pStyle w:val="Heading1"/>
      <w:lvlText w:val="%1"/>
      <w:lvlJc w:val="left"/>
      <w:pPr>
        <w:tabs>
          <w:tab w:val="num" w:pos="709"/>
        </w:tabs>
        <w:ind w:left="709" w:hanging="709"/>
      </w:pPr>
      <w:rPr>
        <w:rFonts w:ascii="Verdana" w:hAnsi="Verdana" w:cs="Copperplate Gothic Bold" w:hint="default"/>
        <w:b/>
        <w:i w:val="0"/>
        <w:caps w:val="0"/>
        <w:color w:val="4F6228" w:themeColor="accent3" w:themeShade="80"/>
        <w:spacing w:val="40"/>
        <w:w w:val="100"/>
        <w:sz w:val="30"/>
        <w:szCs w:val="30"/>
      </w:rPr>
    </w:lvl>
    <w:lvl w:ilvl="1">
      <w:start w:val="1"/>
      <w:numFmt w:val="decimal"/>
      <w:pStyle w:val="Heading2"/>
      <w:lvlText w:val="%1.%2"/>
      <w:lvlJc w:val="left"/>
      <w:pPr>
        <w:tabs>
          <w:tab w:val="num" w:pos="709"/>
        </w:tabs>
        <w:ind w:left="709" w:hanging="709"/>
      </w:pPr>
      <w:rPr>
        <w:rFonts w:ascii="Verdana" w:hAnsi="Verdana" w:hint="default"/>
        <w:b w:val="0"/>
        <w:i w:val="0"/>
        <w:color w:val="4F6228" w:themeColor="accent3" w:themeShade="80"/>
        <w:sz w:val="28"/>
        <w:szCs w:val="28"/>
      </w:rPr>
    </w:lvl>
    <w:lvl w:ilvl="2">
      <w:start w:val="1"/>
      <w:numFmt w:val="decimal"/>
      <w:pStyle w:val="Heading3"/>
      <w:lvlText w:val="%1.%2.%3"/>
      <w:lvlJc w:val="left"/>
      <w:pPr>
        <w:tabs>
          <w:tab w:val="num" w:pos="851"/>
        </w:tabs>
        <w:ind w:left="851" w:hanging="851"/>
      </w:pPr>
      <w:rPr>
        <w:rFonts w:ascii="Verdana" w:hAnsi="Verdana" w:cs="Times New Roman" w:hint="default"/>
        <w:b w:val="0"/>
        <w:i w:val="0"/>
        <w:color w:val="4F6228" w:themeColor="accent3" w:themeShade="80"/>
        <w:sz w:val="25"/>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E451D5"/>
    <w:multiLevelType w:val="multilevel"/>
    <w:tmpl w:val="F7C4C9FE"/>
    <w:lvl w:ilvl="0">
      <w:start w:val="1"/>
      <w:numFmt w:val="lowerRoman"/>
      <w:lvlText w:val="(%1)"/>
      <w:lvlJc w:val="left"/>
      <w:pPr>
        <w:tabs>
          <w:tab w:val="num" w:pos="1287"/>
        </w:tabs>
        <w:ind w:left="1287" w:hanging="567"/>
      </w:pPr>
      <w:rPr>
        <w:rFonts w:ascii="Verdana" w:hAnsi="Verdana" w:hint="default"/>
        <w:b w:val="0"/>
        <w:i w:val="0"/>
        <w:sz w:val="20"/>
      </w:rPr>
    </w:lvl>
    <w:lvl w:ilvl="1">
      <w:start w:val="1"/>
      <w:numFmt w:val="lowerRoman"/>
      <w:lvlText w:val="(%2)"/>
      <w:lvlJc w:val="left"/>
      <w:pPr>
        <w:tabs>
          <w:tab w:val="num" w:pos="1662"/>
        </w:tabs>
        <w:ind w:left="1662" w:hanging="375"/>
      </w:pPr>
      <w:rPr>
        <w:rFonts w:hint="default"/>
        <w:b w:val="0"/>
        <w:i w:val="0"/>
        <w:sz w:val="20"/>
      </w:rPr>
    </w:lvl>
    <w:lvl w:ilvl="2">
      <w:start w:val="1"/>
      <w:numFmt w:val="upperLetter"/>
      <w:lvlText w:val="(%3)"/>
      <w:lvlJc w:val="left"/>
      <w:pPr>
        <w:tabs>
          <w:tab w:val="num" w:pos="2421"/>
        </w:tabs>
        <w:ind w:left="2421" w:hanging="567"/>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4">
    <w:nsid w:val="0DFD5367"/>
    <w:multiLevelType w:val="multilevel"/>
    <w:tmpl w:val="C5BAEBE2"/>
    <w:lvl w:ilvl="0">
      <w:start w:val="1"/>
      <w:numFmt w:val="bullet"/>
      <w:lvlText w:val=""/>
      <w:lvlJc w:val="left"/>
      <w:pPr>
        <w:tabs>
          <w:tab w:val="num" w:pos="1494"/>
        </w:tabs>
        <w:ind w:left="1494" w:hanging="360"/>
      </w:pPr>
      <w:rPr>
        <w:rFonts w:ascii="Symbol" w:hAnsi="Symbol" w:hint="default"/>
        <w:b w:val="0"/>
        <w:i w:val="0"/>
        <w:sz w:val="20"/>
      </w:rPr>
    </w:lvl>
    <w:lvl w:ilvl="1">
      <w:start w:val="1"/>
      <w:numFmt w:val="lowerRoman"/>
      <w:lvlText w:val="(%2)"/>
      <w:lvlJc w:val="left"/>
      <w:pPr>
        <w:tabs>
          <w:tab w:val="num" w:pos="2042"/>
        </w:tabs>
        <w:ind w:left="2042" w:hanging="454"/>
      </w:pPr>
      <w:rPr>
        <w:rFonts w:ascii="Verdana" w:hAnsi="Verdana" w:hint="default"/>
        <w:b w:val="0"/>
        <w:i w:val="0"/>
        <w:sz w:val="20"/>
      </w:rPr>
    </w:lvl>
    <w:lvl w:ilvl="2">
      <w:start w:val="1"/>
      <w:numFmt w:val="upperLetter"/>
      <w:lvlText w:val="(%3)"/>
      <w:lvlJc w:val="left"/>
      <w:pPr>
        <w:tabs>
          <w:tab w:val="num" w:pos="2495"/>
        </w:tabs>
        <w:ind w:left="2495" w:hanging="453"/>
      </w:pPr>
      <w:rPr>
        <w:rFonts w:ascii="Copperplate Gothic Bold" w:hAnsi="Copperplate Gothic Bold" w:hint="default"/>
        <w:b w:val="0"/>
        <w:i w:val="0"/>
        <w:sz w:val="24"/>
      </w:rPr>
    </w:lvl>
    <w:lvl w:ilvl="3">
      <w:start w:val="1"/>
      <w:numFmt w:val="none"/>
      <w:suff w:val="nothing"/>
      <w:lvlText w:val=""/>
      <w:lvlJc w:val="left"/>
      <w:pPr>
        <w:ind w:left="-244" w:firstLine="0"/>
      </w:pPr>
      <w:rPr>
        <w:rFonts w:hint="default"/>
      </w:rPr>
    </w:lvl>
    <w:lvl w:ilvl="4">
      <w:start w:val="1"/>
      <w:numFmt w:val="none"/>
      <w:suff w:val="nothing"/>
      <w:lvlText w:val=""/>
      <w:lvlJc w:val="left"/>
      <w:pPr>
        <w:ind w:left="-244" w:firstLine="0"/>
      </w:pPr>
      <w:rPr>
        <w:rFonts w:hint="default"/>
      </w:rPr>
    </w:lvl>
    <w:lvl w:ilvl="5">
      <w:start w:val="1"/>
      <w:numFmt w:val="none"/>
      <w:suff w:val="nothing"/>
      <w:lvlText w:val=""/>
      <w:lvlJc w:val="left"/>
      <w:pPr>
        <w:ind w:left="-244" w:firstLine="0"/>
      </w:pPr>
      <w:rPr>
        <w:rFonts w:hint="default"/>
      </w:rPr>
    </w:lvl>
    <w:lvl w:ilvl="6">
      <w:start w:val="1"/>
      <w:numFmt w:val="none"/>
      <w:suff w:val="nothing"/>
      <w:lvlText w:val=""/>
      <w:lvlJc w:val="left"/>
      <w:pPr>
        <w:ind w:left="-244" w:firstLine="0"/>
      </w:pPr>
      <w:rPr>
        <w:rFonts w:hint="default"/>
      </w:rPr>
    </w:lvl>
    <w:lvl w:ilvl="7">
      <w:start w:val="1"/>
      <w:numFmt w:val="none"/>
      <w:suff w:val="nothing"/>
      <w:lvlText w:val=""/>
      <w:lvlJc w:val="left"/>
      <w:pPr>
        <w:ind w:left="-244" w:firstLine="0"/>
      </w:pPr>
      <w:rPr>
        <w:rFonts w:hint="default"/>
      </w:rPr>
    </w:lvl>
    <w:lvl w:ilvl="8">
      <w:start w:val="1"/>
      <w:numFmt w:val="none"/>
      <w:suff w:val="nothing"/>
      <w:lvlText w:val=""/>
      <w:lvlJc w:val="left"/>
      <w:pPr>
        <w:ind w:left="-244" w:firstLine="0"/>
      </w:pPr>
      <w:rPr>
        <w:rFonts w:hint="default"/>
      </w:rPr>
    </w:lvl>
  </w:abstractNum>
  <w:abstractNum w:abstractNumId="5">
    <w:nsid w:val="14000530"/>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
    <w:nsid w:val="16770E22"/>
    <w:multiLevelType w:val="multilevel"/>
    <w:tmpl w:val="D3A89164"/>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7">
    <w:nsid w:val="19B20729"/>
    <w:multiLevelType w:val="multilevel"/>
    <w:tmpl w:val="CF3CD900"/>
    <w:lvl w:ilvl="0">
      <w:start w:val="1"/>
      <w:numFmt w:val="decimal"/>
      <w:lvlText w:val="%1"/>
      <w:lvlJc w:val="left"/>
      <w:pPr>
        <w:tabs>
          <w:tab w:val="num" w:pos="709"/>
        </w:tabs>
        <w:ind w:left="709" w:hanging="709"/>
      </w:pPr>
      <w:rPr>
        <w:rFonts w:ascii="Verdana" w:hAnsi="Verdana" w:cs="Copperplate Gothic Bold" w:hint="default"/>
        <w:b/>
        <w:i w:val="0"/>
        <w:caps w:val="0"/>
        <w:color w:val="003300"/>
        <w:spacing w:val="40"/>
        <w:w w:val="100"/>
        <w:sz w:val="30"/>
        <w:szCs w:val="30"/>
      </w:rPr>
    </w:lvl>
    <w:lvl w:ilvl="1">
      <w:start w:val="1"/>
      <w:numFmt w:val="decimal"/>
      <w:lvlText w:val="%1.%2"/>
      <w:lvlJc w:val="left"/>
      <w:pPr>
        <w:tabs>
          <w:tab w:val="num" w:pos="1429"/>
        </w:tabs>
        <w:ind w:left="1429" w:hanging="709"/>
      </w:pPr>
      <w:rPr>
        <w:rFonts w:ascii="Verdana" w:hAnsi="Verdana" w:hint="default"/>
        <w:b w:val="0"/>
        <w:i w:val="0"/>
        <w:color w:val="003300"/>
        <w:sz w:val="28"/>
        <w:szCs w:val="28"/>
      </w:rPr>
    </w:lvl>
    <w:lvl w:ilvl="2">
      <w:start w:val="1"/>
      <w:numFmt w:val="decimal"/>
      <w:lvlText w:val="%1.%2.%3"/>
      <w:lvlJc w:val="left"/>
      <w:pPr>
        <w:tabs>
          <w:tab w:val="num" w:pos="851"/>
        </w:tabs>
        <w:ind w:left="851" w:hanging="851"/>
      </w:pPr>
      <w:rPr>
        <w:rFonts w:ascii="Verdana" w:hAnsi="Verdana" w:cs="Times New Roman" w:hint="default"/>
        <w:b w:val="0"/>
        <w:i w:val="0"/>
        <w:color w:val="003300"/>
        <w:sz w:val="24"/>
        <w:szCs w:val="24"/>
      </w:rPr>
    </w:lvl>
    <w:lvl w:ilvl="3">
      <w:start w:val="1"/>
      <w:numFmt w:val="decimal"/>
      <w:lvlText w:val="%1.%2.%3.%4"/>
      <w:lvlJc w:val="left"/>
      <w:pPr>
        <w:tabs>
          <w:tab w:val="num" w:pos="851"/>
        </w:tabs>
        <w:ind w:left="851" w:hanging="851"/>
      </w:pPr>
      <w:rPr>
        <w:rFonts w:ascii="Verdana" w:hAnsi="Verdana" w:cs="Copperplate Gothic Bold" w:hint="default"/>
        <w:b/>
        <w:i w:val="0"/>
        <w:caps/>
        <w:sz w:val="20"/>
        <w:szCs w:val="24"/>
      </w:rPr>
    </w:lvl>
    <w:lvl w:ilvl="4">
      <w:start w:val="1"/>
      <w:numFmt w:val="decimal"/>
      <w:lvlText w:val="%1.%2.%3.%4.%5"/>
      <w:lvlJc w:val="left"/>
      <w:pPr>
        <w:tabs>
          <w:tab w:val="num" w:pos="1080"/>
        </w:tabs>
        <w:ind w:left="0" w:firstLine="0"/>
      </w:pPr>
      <w:rPr>
        <w:rFonts w:ascii="Arial" w:hAnsi="Arial" w:hint="default"/>
        <w:b/>
        <w:i w:val="0"/>
        <w:sz w:val="2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AEC7A87"/>
    <w:multiLevelType w:val="multilevel"/>
    <w:tmpl w:val="CF12A558"/>
    <w:lvl w:ilvl="0">
      <w:start w:val="1"/>
      <w:numFmt w:val="bullet"/>
      <w:lvlText w:val=""/>
      <w:lvlJc w:val="left"/>
      <w:pPr>
        <w:tabs>
          <w:tab w:val="num" w:pos="1287"/>
        </w:tabs>
        <w:ind w:left="1287" w:hanging="360"/>
      </w:pPr>
      <w:rPr>
        <w:rFonts w:ascii="Symbol" w:hAnsi="Symbol"/>
        <w:sz w:val="23"/>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nsid w:val="282251E4"/>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0">
    <w:nsid w:val="4B193284"/>
    <w:multiLevelType w:val="hybridMultilevel"/>
    <w:tmpl w:val="8118DDC8"/>
    <w:lvl w:ilvl="0" w:tplc="0C090001">
      <w:start w:val="1"/>
      <w:numFmt w:val="bullet"/>
      <w:lvlText w:val=""/>
      <w:lvlJc w:val="left"/>
      <w:pPr>
        <w:ind w:left="200" w:hanging="360"/>
      </w:pPr>
      <w:rPr>
        <w:rFonts w:ascii="Symbol" w:hAnsi="Symbol" w:hint="default"/>
      </w:rPr>
    </w:lvl>
    <w:lvl w:ilvl="1" w:tplc="0C090003">
      <w:start w:val="1"/>
      <w:numFmt w:val="bullet"/>
      <w:lvlText w:val="o"/>
      <w:lvlJc w:val="left"/>
      <w:pPr>
        <w:ind w:left="920" w:hanging="360"/>
      </w:pPr>
      <w:rPr>
        <w:rFonts w:ascii="Courier New" w:hAnsi="Courier New" w:cs="Courier New" w:hint="default"/>
      </w:rPr>
    </w:lvl>
    <w:lvl w:ilvl="2" w:tplc="0C090005" w:tentative="1">
      <w:start w:val="1"/>
      <w:numFmt w:val="bullet"/>
      <w:lvlText w:val=""/>
      <w:lvlJc w:val="left"/>
      <w:pPr>
        <w:ind w:left="1640" w:hanging="360"/>
      </w:pPr>
      <w:rPr>
        <w:rFonts w:ascii="Wingdings" w:hAnsi="Wingdings" w:hint="default"/>
      </w:rPr>
    </w:lvl>
    <w:lvl w:ilvl="3" w:tplc="0C090001" w:tentative="1">
      <w:start w:val="1"/>
      <w:numFmt w:val="bullet"/>
      <w:lvlText w:val=""/>
      <w:lvlJc w:val="left"/>
      <w:pPr>
        <w:ind w:left="2360" w:hanging="360"/>
      </w:pPr>
      <w:rPr>
        <w:rFonts w:ascii="Symbol" w:hAnsi="Symbol" w:hint="default"/>
      </w:rPr>
    </w:lvl>
    <w:lvl w:ilvl="4" w:tplc="0C090003" w:tentative="1">
      <w:start w:val="1"/>
      <w:numFmt w:val="bullet"/>
      <w:lvlText w:val="o"/>
      <w:lvlJc w:val="left"/>
      <w:pPr>
        <w:ind w:left="3080" w:hanging="360"/>
      </w:pPr>
      <w:rPr>
        <w:rFonts w:ascii="Courier New" w:hAnsi="Courier New" w:cs="Courier New" w:hint="default"/>
      </w:rPr>
    </w:lvl>
    <w:lvl w:ilvl="5" w:tplc="0C090005" w:tentative="1">
      <w:start w:val="1"/>
      <w:numFmt w:val="bullet"/>
      <w:lvlText w:val=""/>
      <w:lvlJc w:val="left"/>
      <w:pPr>
        <w:ind w:left="3800" w:hanging="360"/>
      </w:pPr>
      <w:rPr>
        <w:rFonts w:ascii="Wingdings" w:hAnsi="Wingdings" w:hint="default"/>
      </w:rPr>
    </w:lvl>
    <w:lvl w:ilvl="6" w:tplc="0C090001" w:tentative="1">
      <w:start w:val="1"/>
      <w:numFmt w:val="bullet"/>
      <w:lvlText w:val=""/>
      <w:lvlJc w:val="left"/>
      <w:pPr>
        <w:ind w:left="4520" w:hanging="360"/>
      </w:pPr>
      <w:rPr>
        <w:rFonts w:ascii="Symbol" w:hAnsi="Symbol" w:hint="default"/>
      </w:rPr>
    </w:lvl>
    <w:lvl w:ilvl="7" w:tplc="0C090003" w:tentative="1">
      <w:start w:val="1"/>
      <w:numFmt w:val="bullet"/>
      <w:lvlText w:val="o"/>
      <w:lvlJc w:val="left"/>
      <w:pPr>
        <w:ind w:left="5240" w:hanging="360"/>
      </w:pPr>
      <w:rPr>
        <w:rFonts w:ascii="Courier New" w:hAnsi="Courier New" w:cs="Courier New" w:hint="default"/>
      </w:rPr>
    </w:lvl>
    <w:lvl w:ilvl="8" w:tplc="0C090005" w:tentative="1">
      <w:start w:val="1"/>
      <w:numFmt w:val="bullet"/>
      <w:lvlText w:val=""/>
      <w:lvlJc w:val="left"/>
      <w:pPr>
        <w:ind w:left="5960" w:hanging="360"/>
      </w:pPr>
      <w:rPr>
        <w:rFonts w:ascii="Wingdings" w:hAnsi="Wingdings" w:hint="default"/>
      </w:rPr>
    </w:lvl>
  </w:abstractNum>
  <w:abstractNum w:abstractNumId="11">
    <w:nsid w:val="4E7D4D59"/>
    <w:multiLevelType w:val="multilevel"/>
    <w:tmpl w:val="38B4AACA"/>
    <w:lvl w:ilvl="0">
      <w:start w:val="1"/>
      <w:numFmt w:val="bullet"/>
      <w:lvlText w:val=""/>
      <w:lvlJc w:val="left"/>
      <w:pPr>
        <w:tabs>
          <w:tab w:val="num" w:pos="1134"/>
        </w:tabs>
        <w:ind w:left="1134" w:hanging="454"/>
      </w:pPr>
      <w:rPr>
        <w:rFonts w:ascii="Symbol" w:hAnsi="Symbol"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2">
    <w:nsid w:val="52D4591D"/>
    <w:multiLevelType w:val="multilevel"/>
    <w:tmpl w:val="CA6E6F22"/>
    <w:lvl w:ilvl="0">
      <w:start w:val="1"/>
      <w:numFmt w:val="lowerLetter"/>
      <w:pStyle w:val="ListNumb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3">
    <w:nsid w:val="56F836F1"/>
    <w:multiLevelType w:val="multilevel"/>
    <w:tmpl w:val="CA6E6F22"/>
    <w:lvl w:ilvl="0">
      <w:start w:val="1"/>
      <w:numFmt w:val="lowerLetter"/>
      <w:lvlText w:val="(%1)"/>
      <w:lvlJc w:val="left"/>
      <w:pPr>
        <w:tabs>
          <w:tab w:val="num" w:pos="1134"/>
        </w:tabs>
        <w:ind w:left="1134" w:hanging="454"/>
      </w:pPr>
      <w:rPr>
        <w:rFonts w:ascii="Verdana" w:hAnsi="Verdana" w:hint="default"/>
        <w:b w:val="0"/>
        <w:i w:val="0"/>
        <w:sz w:val="20"/>
      </w:rPr>
    </w:lvl>
    <w:lvl w:ilvl="1">
      <w:start w:val="1"/>
      <w:numFmt w:val="lowerRoman"/>
      <w:lvlText w:val="(%2)"/>
      <w:lvlJc w:val="left"/>
      <w:pPr>
        <w:tabs>
          <w:tab w:val="num" w:pos="1588"/>
        </w:tabs>
        <w:ind w:left="1588" w:hanging="454"/>
      </w:pPr>
      <w:rPr>
        <w:rFonts w:ascii="Verdana" w:hAnsi="Verdana" w:hint="default"/>
        <w:b w:val="0"/>
        <w:i w:val="0"/>
        <w:sz w:val="20"/>
      </w:rPr>
    </w:lvl>
    <w:lvl w:ilvl="2">
      <w:start w:val="1"/>
      <w:numFmt w:val="upperLetter"/>
      <w:lvlText w:val="(%3)"/>
      <w:lvlJc w:val="left"/>
      <w:pPr>
        <w:tabs>
          <w:tab w:val="num" w:pos="2041"/>
        </w:tabs>
        <w:ind w:left="2041" w:hanging="453"/>
      </w:pPr>
      <w:rPr>
        <w:rFonts w:ascii="Copperplate Gothic Bold" w:hAnsi="Copperplate Gothic Bold" w:hint="default"/>
        <w:b w:val="0"/>
        <w:i w:val="0"/>
        <w:sz w:val="24"/>
      </w:rPr>
    </w:lvl>
    <w:lvl w:ilvl="3">
      <w:start w:val="1"/>
      <w:numFmt w:val="none"/>
      <w:suff w:val="nothing"/>
      <w:lvlText w:val=""/>
      <w:lvlJc w:val="left"/>
      <w:pPr>
        <w:ind w:left="-698" w:firstLine="0"/>
      </w:pPr>
      <w:rPr>
        <w:rFonts w:hint="default"/>
      </w:rPr>
    </w:lvl>
    <w:lvl w:ilvl="4">
      <w:start w:val="1"/>
      <w:numFmt w:val="none"/>
      <w:suff w:val="nothing"/>
      <w:lvlText w:val=""/>
      <w:lvlJc w:val="left"/>
      <w:pPr>
        <w:ind w:left="-698" w:firstLine="0"/>
      </w:pPr>
      <w:rPr>
        <w:rFonts w:hint="default"/>
      </w:rPr>
    </w:lvl>
    <w:lvl w:ilvl="5">
      <w:start w:val="1"/>
      <w:numFmt w:val="none"/>
      <w:suff w:val="nothing"/>
      <w:lvlText w:val=""/>
      <w:lvlJc w:val="left"/>
      <w:pPr>
        <w:ind w:left="-698" w:firstLine="0"/>
      </w:pPr>
      <w:rPr>
        <w:rFonts w:hint="default"/>
      </w:rPr>
    </w:lvl>
    <w:lvl w:ilvl="6">
      <w:start w:val="1"/>
      <w:numFmt w:val="none"/>
      <w:suff w:val="nothing"/>
      <w:lvlText w:val=""/>
      <w:lvlJc w:val="left"/>
      <w:pPr>
        <w:ind w:left="-698" w:firstLine="0"/>
      </w:pPr>
      <w:rPr>
        <w:rFonts w:hint="default"/>
      </w:rPr>
    </w:lvl>
    <w:lvl w:ilvl="7">
      <w:start w:val="1"/>
      <w:numFmt w:val="none"/>
      <w:suff w:val="nothing"/>
      <w:lvlText w:val=""/>
      <w:lvlJc w:val="left"/>
      <w:pPr>
        <w:ind w:left="-698" w:firstLine="0"/>
      </w:pPr>
      <w:rPr>
        <w:rFonts w:hint="default"/>
      </w:rPr>
    </w:lvl>
    <w:lvl w:ilvl="8">
      <w:start w:val="1"/>
      <w:numFmt w:val="none"/>
      <w:suff w:val="nothing"/>
      <w:lvlText w:val=""/>
      <w:lvlJc w:val="left"/>
      <w:pPr>
        <w:ind w:left="-698" w:firstLine="0"/>
      </w:pPr>
      <w:rPr>
        <w:rFonts w:hint="default"/>
      </w:rPr>
    </w:lvl>
  </w:abstractNum>
  <w:abstractNum w:abstractNumId="14">
    <w:nsid w:val="59F14C5D"/>
    <w:multiLevelType w:val="hybridMultilevel"/>
    <w:tmpl w:val="CF12A558"/>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5">
    <w:nsid w:val="67E75DB4"/>
    <w:multiLevelType w:val="hybridMultilevel"/>
    <w:tmpl w:val="24CC0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7"/>
  </w:num>
  <w:num w:numId="4">
    <w:abstractNumId w:val="5"/>
  </w:num>
  <w:num w:numId="5">
    <w:abstractNumId w:val="8"/>
  </w:num>
  <w:num w:numId="6">
    <w:abstractNumId w:val="3"/>
  </w:num>
  <w:num w:numId="7">
    <w:abstractNumId w:val="0"/>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4"/>
  </w:num>
  <w:num w:numId="13">
    <w:abstractNumId w:val="2"/>
  </w:num>
  <w:num w:numId="14">
    <w:abstractNumId w:val="1"/>
  </w:num>
  <w:num w:numId="15">
    <w:abstractNumId w:val="9"/>
  </w:num>
  <w:num w:numId="16">
    <w:abstractNumId w:val="12"/>
  </w:num>
  <w:num w:numId="17">
    <w:abstractNumId w:val="1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fillcolor="#ddd">
      <v:fill color="#ddd" color2="#222"/>
      <v:stroke weight=".5pt"/>
      <v:textbox inset="2mm,1.5mm,2mm,1.5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26"/>
    <w:rsid w:val="0000321E"/>
    <w:rsid w:val="00003752"/>
    <w:rsid w:val="00010B25"/>
    <w:rsid w:val="00010E9C"/>
    <w:rsid w:val="0001505A"/>
    <w:rsid w:val="00016594"/>
    <w:rsid w:val="00020013"/>
    <w:rsid w:val="00020FC2"/>
    <w:rsid w:val="00022167"/>
    <w:rsid w:val="00022483"/>
    <w:rsid w:val="000264FF"/>
    <w:rsid w:val="000278B1"/>
    <w:rsid w:val="00027EEA"/>
    <w:rsid w:val="000308C6"/>
    <w:rsid w:val="00031213"/>
    <w:rsid w:val="00034E52"/>
    <w:rsid w:val="00040711"/>
    <w:rsid w:val="00041BE0"/>
    <w:rsid w:val="0004225C"/>
    <w:rsid w:val="00043B3A"/>
    <w:rsid w:val="00043CD7"/>
    <w:rsid w:val="00045D79"/>
    <w:rsid w:val="00046EB6"/>
    <w:rsid w:val="0004787F"/>
    <w:rsid w:val="000505A0"/>
    <w:rsid w:val="00050B0A"/>
    <w:rsid w:val="000515CD"/>
    <w:rsid w:val="00056B5A"/>
    <w:rsid w:val="00056C78"/>
    <w:rsid w:val="000579B7"/>
    <w:rsid w:val="00057C24"/>
    <w:rsid w:val="00060C49"/>
    <w:rsid w:val="000613AE"/>
    <w:rsid w:val="00063E68"/>
    <w:rsid w:val="00063FB9"/>
    <w:rsid w:val="0006491C"/>
    <w:rsid w:val="00066128"/>
    <w:rsid w:val="0006666A"/>
    <w:rsid w:val="0006723C"/>
    <w:rsid w:val="0007367E"/>
    <w:rsid w:val="000776D9"/>
    <w:rsid w:val="0008236A"/>
    <w:rsid w:val="00084967"/>
    <w:rsid w:val="0009408B"/>
    <w:rsid w:val="00096B6A"/>
    <w:rsid w:val="000974DF"/>
    <w:rsid w:val="000975D0"/>
    <w:rsid w:val="000A26FB"/>
    <w:rsid w:val="000A62CE"/>
    <w:rsid w:val="000B0BF4"/>
    <w:rsid w:val="000B19CF"/>
    <w:rsid w:val="000B2E42"/>
    <w:rsid w:val="000B4B9E"/>
    <w:rsid w:val="000B6B01"/>
    <w:rsid w:val="000C2E4A"/>
    <w:rsid w:val="000C39E2"/>
    <w:rsid w:val="000C47BB"/>
    <w:rsid w:val="000C4A0F"/>
    <w:rsid w:val="000C4F7F"/>
    <w:rsid w:val="000C5C8F"/>
    <w:rsid w:val="000C764A"/>
    <w:rsid w:val="000D623E"/>
    <w:rsid w:val="000D6519"/>
    <w:rsid w:val="000E09FC"/>
    <w:rsid w:val="000E2CA7"/>
    <w:rsid w:val="000E3515"/>
    <w:rsid w:val="000E522A"/>
    <w:rsid w:val="000E59D9"/>
    <w:rsid w:val="000E5ED2"/>
    <w:rsid w:val="000E5F4B"/>
    <w:rsid w:val="000E6D4C"/>
    <w:rsid w:val="000E7742"/>
    <w:rsid w:val="000E79DC"/>
    <w:rsid w:val="000F1729"/>
    <w:rsid w:val="000F32C8"/>
    <w:rsid w:val="000F34E8"/>
    <w:rsid w:val="000F7415"/>
    <w:rsid w:val="000F7F17"/>
    <w:rsid w:val="00102036"/>
    <w:rsid w:val="00106A09"/>
    <w:rsid w:val="001123FB"/>
    <w:rsid w:val="001126F7"/>
    <w:rsid w:val="00120038"/>
    <w:rsid w:val="0012149E"/>
    <w:rsid w:val="0012574C"/>
    <w:rsid w:val="0012600D"/>
    <w:rsid w:val="00130938"/>
    <w:rsid w:val="00130E64"/>
    <w:rsid w:val="001358F2"/>
    <w:rsid w:val="00135B5F"/>
    <w:rsid w:val="001421F7"/>
    <w:rsid w:val="001434AA"/>
    <w:rsid w:val="00143DAF"/>
    <w:rsid w:val="001454F3"/>
    <w:rsid w:val="001461F4"/>
    <w:rsid w:val="0014714A"/>
    <w:rsid w:val="001471CE"/>
    <w:rsid w:val="00147967"/>
    <w:rsid w:val="00150486"/>
    <w:rsid w:val="00153188"/>
    <w:rsid w:val="0015338B"/>
    <w:rsid w:val="0015779C"/>
    <w:rsid w:val="00161A32"/>
    <w:rsid w:val="00164972"/>
    <w:rsid w:val="00165867"/>
    <w:rsid w:val="00170047"/>
    <w:rsid w:val="001730CA"/>
    <w:rsid w:val="00173D49"/>
    <w:rsid w:val="00173DBA"/>
    <w:rsid w:val="00174550"/>
    <w:rsid w:val="00174BAB"/>
    <w:rsid w:val="00177F12"/>
    <w:rsid w:val="001818EC"/>
    <w:rsid w:val="00185147"/>
    <w:rsid w:val="00185DBF"/>
    <w:rsid w:val="00186AB6"/>
    <w:rsid w:val="00186D9C"/>
    <w:rsid w:val="00186ECC"/>
    <w:rsid w:val="00190B79"/>
    <w:rsid w:val="00194F73"/>
    <w:rsid w:val="00195255"/>
    <w:rsid w:val="001964E7"/>
    <w:rsid w:val="001A20AE"/>
    <w:rsid w:val="001A21B3"/>
    <w:rsid w:val="001A465F"/>
    <w:rsid w:val="001B0912"/>
    <w:rsid w:val="001B1562"/>
    <w:rsid w:val="001B15CA"/>
    <w:rsid w:val="001B3BAE"/>
    <w:rsid w:val="001B7CC4"/>
    <w:rsid w:val="001C0ADB"/>
    <w:rsid w:val="001C0C2A"/>
    <w:rsid w:val="001C2280"/>
    <w:rsid w:val="001D074F"/>
    <w:rsid w:val="001D07D2"/>
    <w:rsid w:val="001D2A60"/>
    <w:rsid w:val="001D6CAC"/>
    <w:rsid w:val="001E1E74"/>
    <w:rsid w:val="001E5235"/>
    <w:rsid w:val="001E5720"/>
    <w:rsid w:val="001E6F7C"/>
    <w:rsid w:val="001E70D3"/>
    <w:rsid w:val="001F1DA1"/>
    <w:rsid w:val="001F413E"/>
    <w:rsid w:val="001F5C8B"/>
    <w:rsid w:val="001F73CB"/>
    <w:rsid w:val="001F7C7C"/>
    <w:rsid w:val="00200D89"/>
    <w:rsid w:val="00200F30"/>
    <w:rsid w:val="00203FB0"/>
    <w:rsid w:val="00204511"/>
    <w:rsid w:val="00204E48"/>
    <w:rsid w:val="00210DAC"/>
    <w:rsid w:val="002116DD"/>
    <w:rsid w:val="00214762"/>
    <w:rsid w:val="00214E77"/>
    <w:rsid w:val="002162B3"/>
    <w:rsid w:val="00216C03"/>
    <w:rsid w:val="002200EB"/>
    <w:rsid w:val="00221828"/>
    <w:rsid w:val="002224D6"/>
    <w:rsid w:val="00222A0E"/>
    <w:rsid w:val="002266D3"/>
    <w:rsid w:val="00230027"/>
    <w:rsid w:val="0023020B"/>
    <w:rsid w:val="00231989"/>
    <w:rsid w:val="00231BD4"/>
    <w:rsid w:val="0023283D"/>
    <w:rsid w:val="00232BBE"/>
    <w:rsid w:val="002331F0"/>
    <w:rsid w:val="002336D7"/>
    <w:rsid w:val="002337D9"/>
    <w:rsid w:val="0023597D"/>
    <w:rsid w:val="002405BE"/>
    <w:rsid w:val="00240AD7"/>
    <w:rsid w:val="002435CE"/>
    <w:rsid w:val="002442DD"/>
    <w:rsid w:val="0025398D"/>
    <w:rsid w:val="00253DA5"/>
    <w:rsid w:val="00254098"/>
    <w:rsid w:val="00255A37"/>
    <w:rsid w:val="00261B11"/>
    <w:rsid w:val="00262C36"/>
    <w:rsid w:val="002646F8"/>
    <w:rsid w:val="002670E4"/>
    <w:rsid w:val="00267553"/>
    <w:rsid w:val="0026756E"/>
    <w:rsid w:val="002718F7"/>
    <w:rsid w:val="00271DEC"/>
    <w:rsid w:val="00276B3B"/>
    <w:rsid w:val="002774FE"/>
    <w:rsid w:val="00283EC7"/>
    <w:rsid w:val="00284E03"/>
    <w:rsid w:val="00285A91"/>
    <w:rsid w:val="00287434"/>
    <w:rsid w:val="002909D7"/>
    <w:rsid w:val="00290EC4"/>
    <w:rsid w:val="00292D3E"/>
    <w:rsid w:val="00295D46"/>
    <w:rsid w:val="002A07C3"/>
    <w:rsid w:val="002A20AB"/>
    <w:rsid w:val="002A3171"/>
    <w:rsid w:val="002A357F"/>
    <w:rsid w:val="002A4604"/>
    <w:rsid w:val="002B02CE"/>
    <w:rsid w:val="002B03F7"/>
    <w:rsid w:val="002B2844"/>
    <w:rsid w:val="002B731C"/>
    <w:rsid w:val="002C3577"/>
    <w:rsid w:val="002C6396"/>
    <w:rsid w:val="002C7743"/>
    <w:rsid w:val="002C7B44"/>
    <w:rsid w:val="002C7C65"/>
    <w:rsid w:val="002D393B"/>
    <w:rsid w:val="002D5A6C"/>
    <w:rsid w:val="002D7842"/>
    <w:rsid w:val="002E048D"/>
    <w:rsid w:val="002E0DC0"/>
    <w:rsid w:val="002E2151"/>
    <w:rsid w:val="002E3E5A"/>
    <w:rsid w:val="002E401F"/>
    <w:rsid w:val="002E49B1"/>
    <w:rsid w:val="002E6A84"/>
    <w:rsid w:val="002F1200"/>
    <w:rsid w:val="002F58CD"/>
    <w:rsid w:val="00301522"/>
    <w:rsid w:val="003030E2"/>
    <w:rsid w:val="00303D93"/>
    <w:rsid w:val="00304FC9"/>
    <w:rsid w:val="00312C8C"/>
    <w:rsid w:val="00312F17"/>
    <w:rsid w:val="00316558"/>
    <w:rsid w:val="003168AA"/>
    <w:rsid w:val="00317976"/>
    <w:rsid w:val="00320234"/>
    <w:rsid w:val="0032064C"/>
    <w:rsid w:val="00321F89"/>
    <w:rsid w:val="003226E7"/>
    <w:rsid w:val="00322E4D"/>
    <w:rsid w:val="003247B2"/>
    <w:rsid w:val="00325BD2"/>
    <w:rsid w:val="00325E2D"/>
    <w:rsid w:val="00332C30"/>
    <w:rsid w:val="00332EB7"/>
    <w:rsid w:val="00333379"/>
    <w:rsid w:val="003341FF"/>
    <w:rsid w:val="00336766"/>
    <w:rsid w:val="00337433"/>
    <w:rsid w:val="00341601"/>
    <w:rsid w:val="00342E53"/>
    <w:rsid w:val="00344711"/>
    <w:rsid w:val="00344D09"/>
    <w:rsid w:val="0034640C"/>
    <w:rsid w:val="00351C37"/>
    <w:rsid w:val="0035201B"/>
    <w:rsid w:val="00352EE4"/>
    <w:rsid w:val="00355FBB"/>
    <w:rsid w:val="00363EB2"/>
    <w:rsid w:val="003645EE"/>
    <w:rsid w:val="00373B5B"/>
    <w:rsid w:val="003742FE"/>
    <w:rsid w:val="00374BAA"/>
    <w:rsid w:val="003766A9"/>
    <w:rsid w:val="003776E4"/>
    <w:rsid w:val="00377710"/>
    <w:rsid w:val="003803C2"/>
    <w:rsid w:val="0038300C"/>
    <w:rsid w:val="003842F5"/>
    <w:rsid w:val="00385C87"/>
    <w:rsid w:val="00391BAE"/>
    <w:rsid w:val="00394A0D"/>
    <w:rsid w:val="00394E30"/>
    <w:rsid w:val="003963BF"/>
    <w:rsid w:val="00396D3B"/>
    <w:rsid w:val="003A60C2"/>
    <w:rsid w:val="003A6A5E"/>
    <w:rsid w:val="003A73C2"/>
    <w:rsid w:val="003B0C1B"/>
    <w:rsid w:val="003B5BFF"/>
    <w:rsid w:val="003B6672"/>
    <w:rsid w:val="003B6D0E"/>
    <w:rsid w:val="003B782A"/>
    <w:rsid w:val="003C415A"/>
    <w:rsid w:val="003C6D91"/>
    <w:rsid w:val="003C6FFF"/>
    <w:rsid w:val="003C7BD4"/>
    <w:rsid w:val="003D4782"/>
    <w:rsid w:val="003D4B16"/>
    <w:rsid w:val="003E3404"/>
    <w:rsid w:val="003E4D91"/>
    <w:rsid w:val="003E7BE4"/>
    <w:rsid w:val="003E7E07"/>
    <w:rsid w:val="003E7FE0"/>
    <w:rsid w:val="003F003D"/>
    <w:rsid w:val="003F2F74"/>
    <w:rsid w:val="003F38C1"/>
    <w:rsid w:val="003F6F23"/>
    <w:rsid w:val="0041054B"/>
    <w:rsid w:val="00410A8D"/>
    <w:rsid w:val="0041327C"/>
    <w:rsid w:val="004163F9"/>
    <w:rsid w:val="00420382"/>
    <w:rsid w:val="0042073E"/>
    <w:rsid w:val="00421093"/>
    <w:rsid w:val="00424643"/>
    <w:rsid w:val="00424FBC"/>
    <w:rsid w:val="00425C6D"/>
    <w:rsid w:val="00427983"/>
    <w:rsid w:val="00430B7D"/>
    <w:rsid w:val="00431AE7"/>
    <w:rsid w:val="00431C57"/>
    <w:rsid w:val="0043228B"/>
    <w:rsid w:val="00433F89"/>
    <w:rsid w:val="004350F3"/>
    <w:rsid w:val="0043775E"/>
    <w:rsid w:val="004445BA"/>
    <w:rsid w:val="004558BB"/>
    <w:rsid w:val="00456CE5"/>
    <w:rsid w:val="00460A47"/>
    <w:rsid w:val="0046154D"/>
    <w:rsid w:val="00465C83"/>
    <w:rsid w:val="004667B3"/>
    <w:rsid w:val="00466A5A"/>
    <w:rsid w:val="00466B29"/>
    <w:rsid w:val="00471847"/>
    <w:rsid w:val="004719F1"/>
    <w:rsid w:val="00472D2E"/>
    <w:rsid w:val="00473269"/>
    <w:rsid w:val="00473A26"/>
    <w:rsid w:val="00475223"/>
    <w:rsid w:val="00476F22"/>
    <w:rsid w:val="00480A12"/>
    <w:rsid w:val="00482DA4"/>
    <w:rsid w:val="004832A4"/>
    <w:rsid w:val="00484903"/>
    <w:rsid w:val="00486B89"/>
    <w:rsid w:val="00490918"/>
    <w:rsid w:val="004912D6"/>
    <w:rsid w:val="0049239C"/>
    <w:rsid w:val="00495947"/>
    <w:rsid w:val="0049785D"/>
    <w:rsid w:val="004A1597"/>
    <w:rsid w:val="004A339E"/>
    <w:rsid w:val="004A34D2"/>
    <w:rsid w:val="004A3CBC"/>
    <w:rsid w:val="004B1662"/>
    <w:rsid w:val="004B369E"/>
    <w:rsid w:val="004B6072"/>
    <w:rsid w:val="004B7326"/>
    <w:rsid w:val="004B75A1"/>
    <w:rsid w:val="004C0D75"/>
    <w:rsid w:val="004C177A"/>
    <w:rsid w:val="004C2AD5"/>
    <w:rsid w:val="004C57F0"/>
    <w:rsid w:val="004C5897"/>
    <w:rsid w:val="004C6934"/>
    <w:rsid w:val="004D1491"/>
    <w:rsid w:val="004D3BC3"/>
    <w:rsid w:val="004D5A3F"/>
    <w:rsid w:val="004D6042"/>
    <w:rsid w:val="004D6B01"/>
    <w:rsid w:val="004D753D"/>
    <w:rsid w:val="004E3C33"/>
    <w:rsid w:val="004E40F9"/>
    <w:rsid w:val="004E4A40"/>
    <w:rsid w:val="004E7DE7"/>
    <w:rsid w:val="004F10D7"/>
    <w:rsid w:val="004F113D"/>
    <w:rsid w:val="004F1769"/>
    <w:rsid w:val="004F619F"/>
    <w:rsid w:val="0050272E"/>
    <w:rsid w:val="00504659"/>
    <w:rsid w:val="005073DD"/>
    <w:rsid w:val="00507DE1"/>
    <w:rsid w:val="00510911"/>
    <w:rsid w:val="00512A5E"/>
    <w:rsid w:val="005134A1"/>
    <w:rsid w:val="0051382F"/>
    <w:rsid w:val="00513AFC"/>
    <w:rsid w:val="00513C11"/>
    <w:rsid w:val="00515504"/>
    <w:rsid w:val="0051665B"/>
    <w:rsid w:val="005213DC"/>
    <w:rsid w:val="00521BB4"/>
    <w:rsid w:val="00527F1B"/>
    <w:rsid w:val="005309BB"/>
    <w:rsid w:val="00530CD4"/>
    <w:rsid w:val="00532594"/>
    <w:rsid w:val="00533FE0"/>
    <w:rsid w:val="00540397"/>
    <w:rsid w:val="0054173B"/>
    <w:rsid w:val="00541F04"/>
    <w:rsid w:val="00542E6E"/>
    <w:rsid w:val="00545168"/>
    <w:rsid w:val="005504E4"/>
    <w:rsid w:val="00552CC0"/>
    <w:rsid w:val="005538F8"/>
    <w:rsid w:val="005545C7"/>
    <w:rsid w:val="00554675"/>
    <w:rsid w:val="00554C91"/>
    <w:rsid w:val="00555BDF"/>
    <w:rsid w:val="00555C73"/>
    <w:rsid w:val="00566601"/>
    <w:rsid w:val="0056789B"/>
    <w:rsid w:val="0057026D"/>
    <w:rsid w:val="00573A6E"/>
    <w:rsid w:val="0057418C"/>
    <w:rsid w:val="00576C21"/>
    <w:rsid w:val="00580028"/>
    <w:rsid w:val="00581726"/>
    <w:rsid w:val="00582308"/>
    <w:rsid w:val="00586D03"/>
    <w:rsid w:val="00592C67"/>
    <w:rsid w:val="00593895"/>
    <w:rsid w:val="00596990"/>
    <w:rsid w:val="005A0848"/>
    <w:rsid w:val="005A39DE"/>
    <w:rsid w:val="005A436B"/>
    <w:rsid w:val="005A6A99"/>
    <w:rsid w:val="005A76FC"/>
    <w:rsid w:val="005B271A"/>
    <w:rsid w:val="005B2739"/>
    <w:rsid w:val="005B53F7"/>
    <w:rsid w:val="005B5ABF"/>
    <w:rsid w:val="005B5BD5"/>
    <w:rsid w:val="005C1F50"/>
    <w:rsid w:val="005C263B"/>
    <w:rsid w:val="005C4A22"/>
    <w:rsid w:val="005C6DB4"/>
    <w:rsid w:val="005D15D7"/>
    <w:rsid w:val="005D1F6F"/>
    <w:rsid w:val="005D2706"/>
    <w:rsid w:val="005D53E5"/>
    <w:rsid w:val="005E128F"/>
    <w:rsid w:val="005E28AC"/>
    <w:rsid w:val="005E299E"/>
    <w:rsid w:val="005E6C66"/>
    <w:rsid w:val="005E7B56"/>
    <w:rsid w:val="005F15BB"/>
    <w:rsid w:val="005F265E"/>
    <w:rsid w:val="005F2BEE"/>
    <w:rsid w:val="005F630E"/>
    <w:rsid w:val="005F770B"/>
    <w:rsid w:val="00601B2F"/>
    <w:rsid w:val="0060376A"/>
    <w:rsid w:val="006045BE"/>
    <w:rsid w:val="00605B17"/>
    <w:rsid w:val="00610269"/>
    <w:rsid w:val="006106BD"/>
    <w:rsid w:val="0061573D"/>
    <w:rsid w:val="006162AA"/>
    <w:rsid w:val="00617293"/>
    <w:rsid w:val="00620C5D"/>
    <w:rsid w:val="006213A4"/>
    <w:rsid w:val="00623A69"/>
    <w:rsid w:val="00625F6A"/>
    <w:rsid w:val="0062685D"/>
    <w:rsid w:val="00627538"/>
    <w:rsid w:val="00627F90"/>
    <w:rsid w:val="00632A5C"/>
    <w:rsid w:val="00635627"/>
    <w:rsid w:val="00637032"/>
    <w:rsid w:val="00640693"/>
    <w:rsid w:val="00641614"/>
    <w:rsid w:val="00643250"/>
    <w:rsid w:val="00643270"/>
    <w:rsid w:val="00644608"/>
    <w:rsid w:val="006448D4"/>
    <w:rsid w:val="00644ABF"/>
    <w:rsid w:val="00646F52"/>
    <w:rsid w:val="00647847"/>
    <w:rsid w:val="006515DF"/>
    <w:rsid w:val="00656259"/>
    <w:rsid w:val="00657FDD"/>
    <w:rsid w:val="00660C3B"/>
    <w:rsid w:val="00660CEC"/>
    <w:rsid w:val="00663B13"/>
    <w:rsid w:val="00665DE3"/>
    <w:rsid w:val="006670EE"/>
    <w:rsid w:val="00667B27"/>
    <w:rsid w:val="0067018F"/>
    <w:rsid w:val="006706E1"/>
    <w:rsid w:val="00672BF0"/>
    <w:rsid w:val="00674AD1"/>
    <w:rsid w:val="00681036"/>
    <w:rsid w:val="00683931"/>
    <w:rsid w:val="006841F0"/>
    <w:rsid w:val="00684916"/>
    <w:rsid w:val="006858F2"/>
    <w:rsid w:val="00687180"/>
    <w:rsid w:val="00693347"/>
    <w:rsid w:val="00695B78"/>
    <w:rsid w:val="0069608B"/>
    <w:rsid w:val="006970FE"/>
    <w:rsid w:val="00697ABC"/>
    <w:rsid w:val="006A0649"/>
    <w:rsid w:val="006A0994"/>
    <w:rsid w:val="006A10EE"/>
    <w:rsid w:val="006A25F4"/>
    <w:rsid w:val="006A60CE"/>
    <w:rsid w:val="006B26C0"/>
    <w:rsid w:val="006B2732"/>
    <w:rsid w:val="006B531A"/>
    <w:rsid w:val="006B594C"/>
    <w:rsid w:val="006B7BF3"/>
    <w:rsid w:val="006C081A"/>
    <w:rsid w:val="006C0924"/>
    <w:rsid w:val="006C45F1"/>
    <w:rsid w:val="006C4C47"/>
    <w:rsid w:val="006C5764"/>
    <w:rsid w:val="006C6D9A"/>
    <w:rsid w:val="006D3E4B"/>
    <w:rsid w:val="006D4B45"/>
    <w:rsid w:val="006D51E4"/>
    <w:rsid w:val="006D544D"/>
    <w:rsid w:val="006E43F9"/>
    <w:rsid w:val="006E538C"/>
    <w:rsid w:val="006E5D16"/>
    <w:rsid w:val="006F1644"/>
    <w:rsid w:val="006F1645"/>
    <w:rsid w:val="006F246B"/>
    <w:rsid w:val="006F4658"/>
    <w:rsid w:val="006F5481"/>
    <w:rsid w:val="00700EF7"/>
    <w:rsid w:val="007023C4"/>
    <w:rsid w:val="00703E92"/>
    <w:rsid w:val="00706327"/>
    <w:rsid w:val="00706ACD"/>
    <w:rsid w:val="00706D5B"/>
    <w:rsid w:val="0070784E"/>
    <w:rsid w:val="00707BF1"/>
    <w:rsid w:val="00710564"/>
    <w:rsid w:val="007126EA"/>
    <w:rsid w:val="00713B74"/>
    <w:rsid w:val="00713ED4"/>
    <w:rsid w:val="00714FD7"/>
    <w:rsid w:val="0071512F"/>
    <w:rsid w:val="00721A94"/>
    <w:rsid w:val="00723C2E"/>
    <w:rsid w:val="00724D4E"/>
    <w:rsid w:val="0072535B"/>
    <w:rsid w:val="00725FC8"/>
    <w:rsid w:val="00730CBC"/>
    <w:rsid w:val="00731FA1"/>
    <w:rsid w:val="00732415"/>
    <w:rsid w:val="00732E6A"/>
    <w:rsid w:val="00734380"/>
    <w:rsid w:val="007366E2"/>
    <w:rsid w:val="0074082B"/>
    <w:rsid w:val="00740A0C"/>
    <w:rsid w:val="00741E88"/>
    <w:rsid w:val="0074436E"/>
    <w:rsid w:val="00745113"/>
    <w:rsid w:val="0074523F"/>
    <w:rsid w:val="00746926"/>
    <w:rsid w:val="00754CE9"/>
    <w:rsid w:val="00754E02"/>
    <w:rsid w:val="00756E79"/>
    <w:rsid w:val="0075715A"/>
    <w:rsid w:val="007602BC"/>
    <w:rsid w:val="00762584"/>
    <w:rsid w:val="00764F3A"/>
    <w:rsid w:val="00765691"/>
    <w:rsid w:val="00771BEE"/>
    <w:rsid w:val="007770EB"/>
    <w:rsid w:val="00780E89"/>
    <w:rsid w:val="00787050"/>
    <w:rsid w:val="007878EA"/>
    <w:rsid w:val="00787C3E"/>
    <w:rsid w:val="00790560"/>
    <w:rsid w:val="007920B0"/>
    <w:rsid w:val="00793C1E"/>
    <w:rsid w:val="0079433A"/>
    <w:rsid w:val="00797504"/>
    <w:rsid w:val="00797791"/>
    <w:rsid w:val="00797C09"/>
    <w:rsid w:val="007A0C86"/>
    <w:rsid w:val="007A0D52"/>
    <w:rsid w:val="007A273D"/>
    <w:rsid w:val="007A4100"/>
    <w:rsid w:val="007A498C"/>
    <w:rsid w:val="007A4D11"/>
    <w:rsid w:val="007B05DA"/>
    <w:rsid w:val="007B1421"/>
    <w:rsid w:val="007B156D"/>
    <w:rsid w:val="007B27EF"/>
    <w:rsid w:val="007B2A17"/>
    <w:rsid w:val="007B2C80"/>
    <w:rsid w:val="007B3C88"/>
    <w:rsid w:val="007B5759"/>
    <w:rsid w:val="007B5E47"/>
    <w:rsid w:val="007B6FE8"/>
    <w:rsid w:val="007C1165"/>
    <w:rsid w:val="007C29F3"/>
    <w:rsid w:val="007D0F61"/>
    <w:rsid w:val="007D2AF7"/>
    <w:rsid w:val="007D2C43"/>
    <w:rsid w:val="007D601B"/>
    <w:rsid w:val="007D7A0B"/>
    <w:rsid w:val="007D7C73"/>
    <w:rsid w:val="007E3707"/>
    <w:rsid w:val="007E47FE"/>
    <w:rsid w:val="007E51E4"/>
    <w:rsid w:val="007E6734"/>
    <w:rsid w:val="007E7A30"/>
    <w:rsid w:val="007F0806"/>
    <w:rsid w:val="007F0D1F"/>
    <w:rsid w:val="007F11FA"/>
    <w:rsid w:val="007F1403"/>
    <w:rsid w:val="007F1C99"/>
    <w:rsid w:val="007F4762"/>
    <w:rsid w:val="007F565B"/>
    <w:rsid w:val="00802390"/>
    <w:rsid w:val="00802C24"/>
    <w:rsid w:val="00806732"/>
    <w:rsid w:val="00810EE6"/>
    <w:rsid w:val="00811791"/>
    <w:rsid w:val="00814F88"/>
    <w:rsid w:val="00817F56"/>
    <w:rsid w:val="0082087D"/>
    <w:rsid w:val="00822B3A"/>
    <w:rsid w:val="00822F1F"/>
    <w:rsid w:val="00823E1F"/>
    <w:rsid w:val="008305F4"/>
    <w:rsid w:val="00835A05"/>
    <w:rsid w:val="00840E38"/>
    <w:rsid w:val="00844764"/>
    <w:rsid w:val="0084585E"/>
    <w:rsid w:val="0084593F"/>
    <w:rsid w:val="008463D6"/>
    <w:rsid w:val="00852306"/>
    <w:rsid w:val="008528DB"/>
    <w:rsid w:val="00852DC2"/>
    <w:rsid w:val="008545B3"/>
    <w:rsid w:val="008553A6"/>
    <w:rsid w:val="00865962"/>
    <w:rsid w:val="00870366"/>
    <w:rsid w:val="00870959"/>
    <w:rsid w:val="008745C8"/>
    <w:rsid w:val="00874C4E"/>
    <w:rsid w:val="008750CB"/>
    <w:rsid w:val="00882379"/>
    <w:rsid w:val="0088341C"/>
    <w:rsid w:val="008839AB"/>
    <w:rsid w:val="00884121"/>
    <w:rsid w:val="00884EE3"/>
    <w:rsid w:val="00894E68"/>
    <w:rsid w:val="00895ACF"/>
    <w:rsid w:val="0089614F"/>
    <w:rsid w:val="00896C86"/>
    <w:rsid w:val="008A04F9"/>
    <w:rsid w:val="008A325A"/>
    <w:rsid w:val="008A5911"/>
    <w:rsid w:val="008B497E"/>
    <w:rsid w:val="008B4A08"/>
    <w:rsid w:val="008B6682"/>
    <w:rsid w:val="008B75CB"/>
    <w:rsid w:val="008B7E55"/>
    <w:rsid w:val="008C0B19"/>
    <w:rsid w:val="008D1B03"/>
    <w:rsid w:val="008D219A"/>
    <w:rsid w:val="008D4FD2"/>
    <w:rsid w:val="008D600A"/>
    <w:rsid w:val="008E0013"/>
    <w:rsid w:val="008E234F"/>
    <w:rsid w:val="008E2AB4"/>
    <w:rsid w:val="008E6291"/>
    <w:rsid w:val="008E73F0"/>
    <w:rsid w:val="008E7E6F"/>
    <w:rsid w:val="008F1327"/>
    <w:rsid w:val="008F247C"/>
    <w:rsid w:val="008F4BDD"/>
    <w:rsid w:val="008F62FA"/>
    <w:rsid w:val="008F682B"/>
    <w:rsid w:val="008F6E65"/>
    <w:rsid w:val="008F7E18"/>
    <w:rsid w:val="0090019C"/>
    <w:rsid w:val="00902D98"/>
    <w:rsid w:val="009067C1"/>
    <w:rsid w:val="009072C4"/>
    <w:rsid w:val="00912134"/>
    <w:rsid w:val="00913641"/>
    <w:rsid w:val="00913DC6"/>
    <w:rsid w:val="00915AB6"/>
    <w:rsid w:val="0091615C"/>
    <w:rsid w:val="0092196A"/>
    <w:rsid w:val="00922B10"/>
    <w:rsid w:val="0092308D"/>
    <w:rsid w:val="009230BB"/>
    <w:rsid w:val="009260A0"/>
    <w:rsid w:val="0092693F"/>
    <w:rsid w:val="00931871"/>
    <w:rsid w:val="00935C66"/>
    <w:rsid w:val="009427A2"/>
    <w:rsid w:val="009431DC"/>
    <w:rsid w:val="00944F8D"/>
    <w:rsid w:val="009463B4"/>
    <w:rsid w:val="00951BAC"/>
    <w:rsid w:val="00951FDF"/>
    <w:rsid w:val="00952B91"/>
    <w:rsid w:val="00952F5A"/>
    <w:rsid w:val="00955E4D"/>
    <w:rsid w:val="00957D8E"/>
    <w:rsid w:val="00961275"/>
    <w:rsid w:val="00962457"/>
    <w:rsid w:val="00963327"/>
    <w:rsid w:val="00964CF1"/>
    <w:rsid w:val="0096614A"/>
    <w:rsid w:val="0096639A"/>
    <w:rsid w:val="00976D90"/>
    <w:rsid w:val="00977522"/>
    <w:rsid w:val="00977B9C"/>
    <w:rsid w:val="0098135E"/>
    <w:rsid w:val="00983B62"/>
    <w:rsid w:val="00985D1F"/>
    <w:rsid w:val="009904A3"/>
    <w:rsid w:val="00991756"/>
    <w:rsid w:val="00991E67"/>
    <w:rsid w:val="00993931"/>
    <w:rsid w:val="00994CF8"/>
    <w:rsid w:val="0099579F"/>
    <w:rsid w:val="00995D98"/>
    <w:rsid w:val="00996AB4"/>
    <w:rsid w:val="00997893"/>
    <w:rsid w:val="009A39B6"/>
    <w:rsid w:val="009A3B1D"/>
    <w:rsid w:val="009A5EF6"/>
    <w:rsid w:val="009A68F4"/>
    <w:rsid w:val="009B0140"/>
    <w:rsid w:val="009B204A"/>
    <w:rsid w:val="009B25F0"/>
    <w:rsid w:val="009B3174"/>
    <w:rsid w:val="009B48A1"/>
    <w:rsid w:val="009B4CA6"/>
    <w:rsid w:val="009B6791"/>
    <w:rsid w:val="009B6C81"/>
    <w:rsid w:val="009B73AC"/>
    <w:rsid w:val="009C13AC"/>
    <w:rsid w:val="009C274C"/>
    <w:rsid w:val="009C27B0"/>
    <w:rsid w:val="009C33D3"/>
    <w:rsid w:val="009C3AB9"/>
    <w:rsid w:val="009C6368"/>
    <w:rsid w:val="009C688A"/>
    <w:rsid w:val="009C6B68"/>
    <w:rsid w:val="009D0868"/>
    <w:rsid w:val="009D1C2D"/>
    <w:rsid w:val="009D2DD7"/>
    <w:rsid w:val="009D2FBA"/>
    <w:rsid w:val="009D4761"/>
    <w:rsid w:val="009D4F93"/>
    <w:rsid w:val="009D64FD"/>
    <w:rsid w:val="009D75BB"/>
    <w:rsid w:val="009E146A"/>
    <w:rsid w:val="009E6A95"/>
    <w:rsid w:val="009F01D0"/>
    <w:rsid w:val="009F30BE"/>
    <w:rsid w:val="009F3A78"/>
    <w:rsid w:val="009F40D6"/>
    <w:rsid w:val="009F58F0"/>
    <w:rsid w:val="009F5AB5"/>
    <w:rsid w:val="00A04926"/>
    <w:rsid w:val="00A06897"/>
    <w:rsid w:val="00A1021D"/>
    <w:rsid w:val="00A10AA5"/>
    <w:rsid w:val="00A115F7"/>
    <w:rsid w:val="00A132FF"/>
    <w:rsid w:val="00A14241"/>
    <w:rsid w:val="00A154EF"/>
    <w:rsid w:val="00A16A00"/>
    <w:rsid w:val="00A16C6B"/>
    <w:rsid w:val="00A246AD"/>
    <w:rsid w:val="00A24BD0"/>
    <w:rsid w:val="00A27491"/>
    <w:rsid w:val="00A30B2A"/>
    <w:rsid w:val="00A33544"/>
    <w:rsid w:val="00A339CB"/>
    <w:rsid w:val="00A35E9F"/>
    <w:rsid w:val="00A3605A"/>
    <w:rsid w:val="00A42416"/>
    <w:rsid w:val="00A43D4E"/>
    <w:rsid w:val="00A50CCC"/>
    <w:rsid w:val="00A522EF"/>
    <w:rsid w:val="00A55E7A"/>
    <w:rsid w:val="00A56413"/>
    <w:rsid w:val="00A60424"/>
    <w:rsid w:val="00A63921"/>
    <w:rsid w:val="00A63996"/>
    <w:rsid w:val="00A64001"/>
    <w:rsid w:val="00A646EE"/>
    <w:rsid w:val="00A651AE"/>
    <w:rsid w:val="00A669A5"/>
    <w:rsid w:val="00A67879"/>
    <w:rsid w:val="00A67DCD"/>
    <w:rsid w:val="00A70409"/>
    <w:rsid w:val="00A707CD"/>
    <w:rsid w:val="00A724E8"/>
    <w:rsid w:val="00A7516A"/>
    <w:rsid w:val="00A75B8A"/>
    <w:rsid w:val="00A764F9"/>
    <w:rsid w:val="00A76D3C"/>
    <w:rsid w:val="00A7706C"/>
    <w:rsid w:val="00A80A4C"/>
    <w:rsid w:val="00A8135E"/>
    <w:rsid w:val="00A81614"/>
    <w:rsid w:val="00A816D8"/>
    <w:rsid w:val="00A82F7E"/>
    <w:rsid w:val="00A82FAB"/>
    <w:rsid w:val="00A83B78"/>
    <w:rsid w:val="00A83B9D"/>
    <w:rsid w:val="00A84298"/>
    <w:rsid w:val="00A86887"/>
    <w:rsid w:val="00A86A69"/>
    <w:rsid w:val="00A87196"/>
    <w:rsid w:val="00A90BDF"/>
    <w:rsid w:val="00A95BF9"/>
    <w:rsid w:val="00A97873"/>
    <w:rsid w:val="00AA19E7"/>
    <w:rsid w:val="00AA1CF7"/>
    <w:rsid w:val="00AA362E"/>
    <w:rsid w:val="00AA6106"/>
    <w:rsid w:val="00AA760B"/>
    <w:rsid w:val="00AB0F7B"/>
    <w:rsid w:val="00AB1983"/>
    <w:rsid w:val="00AB2B15"/>
    <w:rsid w:val="00AB4A25"/>
    <w:rsid w:val="00AB632A"/>
    <w:rsid w:val="00AB6708"/>
    <w:rsid w:val="00AC3224"/>
    <w:rsid w:val="00AC3608"/>
    <w:rsid w:val="00AC3B6B"/>
    <w:rsid w:val="00AC4407"/>
    <w:rsid w:val="00AC5399"/>
    <w:rsid w:val="00AD12C1"/>
    <w:rsid w:val="00AD2FA5"/>
    <w:rsid w:val="00AD682D"/>
    <w:rsid w:val="00AE20CE"/>
    <w:rsid w:val="00AE3703"/>
    <w:rsid w:val="00AE4FD8"/>
    <w:rsid w:val="00AE5979"/>
    <w:rsid w:val="00AF1726"/>
    <w:rsid w:val="00AF2724"/>
    <w:rsid w:val="00AF365A"/>
    <w:rsid w:val="00AF3C37"/>
    <w:rsid w:val="00AF40C7"/>
    <w:rsid w:val="00AF710B"/>
    <w:rsid w:val="00B01C8F"/>
    <w:rsid w:val="00B11308"/>
    <w:rsid w:val="00B13F21"/>
    <w:rsid w:val="00B150B3"/>
    <w:rsid w:val="00B162D3"/>
    <w:rsid w:val="00B20078"/>
    <w:rsid w:val="00B20C69"/>
    <w:rsid w:val="00B25F07"/>
    <w:rsid w:val="00B314A0"/>
    <w:rsid w:val="00B31C3B"/>
    <w:rsid w:val="00B3648B"/>
    <w:rsid w:val="00B41DD9"/>
    <w:rsid w:val="00B42821"/>
    <w:rsid w:val="00B42848"/>
    <w:rsid w:val="00B43630"/>
    <w:rsid w:val="00B45BF8"/>
    <w:rsid w:val="00B45EBE"/>
    <w:rsid w:val="00B52874"/>
    <w:rsid w:val="00B5339F"/>
    <w:rsid w:val="00B55AD0"/>
    <w:rsid w:val="00B5679A"/>
    <w:rsid w:val="00B60B25"/>
    <w:rsid w:val="00B61BBD"/>
    <w:rsid w:val="00B63AA4"/>
    <w:rsid w:val="00B64F6F"/>
    <w:rsid w:val="00B66E27"/>
    <w:rsid w:val="00B71A38"/>
    <w:rsid w:val="00B73CD2"/>
    <w:rsid w:val="00B75862"/>
    <w:rsid w:val="00B75B6B"/>
    <w:rsid w:val="00B76B64"/>
    <w:rsid w:val="00B77769"/>
    <w:rsid w:val="00B779B0"/>
    <w:rsid w:val="00B805DA"/>
    <w:rsid w:val="00B9168D"/>
    <w:rsid w:val="00B94724"/>
    <w:rsid w:val="00B94F57"/>
    <w:rsid w:val="00B956C7"/>
    <w:rsid w:val="00BA0CEF"/>
    <w:rsid w:val="00BA3711"/>
    <w:rsid w:val="00BA4555"/>
    <w:rsid w:val="00BA612A"/>
    <w:rsid w:val="00BA760C"/>
    <w:rsid w:val="00BB1034"/>
    <w:rsid w:val="00BB310B"/>
    <w:rsid w:val="00BB622E"/>
    <w:rsid w:val="00BB7492"/>
    <w:rsid w:val="00BC1CE6"/>
    <w:rsid w:val="00BC21C1"/>
    <w:rsid w:val="00BC3365"/>
    <w:rsid w:val="00BC44BD"/>
    <w:rsid w:val="00BC5688"/>
    <w:rsid w:val="00BC57C9"/>
    <w:rsid w:val="00BC5C55"/>
    <w:rsid w:val="00BC5E86"/>
    <w:rsid w:val="00BD0802"/>
    <w:rsid w:val="00BD0B32"/>
    <w:rsid w:val="00BD157C"/>
    <w:rsid w:val="00BD3400"/>
    <w:rsid w:val="00BD5B28"/>
    <w:rsid w:val="00BD5C83"/>
    <w:rsid w:val="00BD7A0F"/>
    <w:rsid w:val="00BE711A"/>
    <w:rsid w:val="00BF2598"/>
    <w:rsid w:val="00BF334A"/>
    <w:rsid w:val="00BF60E4"/>
    <w:rsid w:val="00BF6CDF"/>
    <w:rsid w:val="00BF7263"/>
    <w:rsid w:val="00BF73F2"/>
    <w:rsid w:val="00C03052"/>
    <w:rsid w:val="00C04FED"/>
    <w:rsid w:val="00C0541E"/>
    <w:rsid w:val="00C0550A"/>
    <w:rsid w:val="00C06570"/>
    <w:rsid w:val="00C07AB9"/>
    <w:rsid w:val="00C1121A"/>
    <w:rsid w:val="00C11702"/>
    <w:rsid w:val="00C1176D"/>
    <w:rsid w:val="00C11790"/>
    <w:rsid w:val="00C11BB5"/>
    <w:rsid w:val="00C143AF"/>
    <w:rsid w:val="00C14DF3"/>
    <w:rsid w:val="00C1783F"/>
    <w:rsid w:val="00C20831"/>
    <w:rsid w:val="00C2123F"/>
    <w:rsid w:val="00C2193F"/>
    <w:rsid w:val="00C239E1"/>
    <w:rsid w:val="00C2403E"/>
    <w:rsid w:val="00C24F76"/>
    <w:rsid w:val="00C2715B"/>
    <w:rsid w:val="00C30FEC"/>
    <w:rsid w:val="00C31DF8"/>
    <w:rsid w:val="00C31E6C"/>
    <w:rsid w:val="00C31F2A"/>
    <w:rsid w:val="00C364C5"/>
    <w:rsid w:val="00C40D3F"/>
    <w:rsid w:val="00C42E0B"/>
    <w:rsid w:val="00C4502A"/>
    <w:rsid w:val="00C46661"/>
    <w:rsid w:val="00C4698A"/>
    <w:rsid w:val="00C46D07"/>
    <w:rsid w:val="00C5197C"/>
    <w:rsid w:val="00C52F9F"/>
    <w:rsid w:val="00C53186"/>
    <w:rsid w:val="00C54113"/>
    <w:rsid w:val="00C54746"/>
    <w:rsid w:val="00C56224"/>
    <w:rsid w:val="00C62348"/>
    <w:rsid w:val="00C646ED"/>
    <w:rsid w:val="00C653A8"/>
    <w:rsid w:val="00C67BD2"/>
    <w:rsid w:val="00C721E2"/>
    <w:rsid w:val="00C72FED"/>
    <w:rsid w:val="00C7307B"/>
    <w:rsid w:val="00C731AC"/>
    <w:rsid w:val="00C76A2E"/>
    <w:rsid w:val="00C81F8A"/>
    <w:rsid w:val="00C82980"/>
    <w:rsid w:val="00C83DF3"/>
    <w:rsid w:val="00C8728D"/>
    <w:rsid w:val="00C877F2"/>
    <w:rsid w:val="00C90E8B"/>
    <w:rsid w:val="00C9175D"/>
    <w:rsid w:val="00C92A7C"/>
    <w:rsid w:val="00C959F5"/>
    <w:rsid w:val="00CA15D8"/>
    <w:rsid w:val="00CA2CC9"/>
    <w:rsid w:val="00CA33E0"/>
    <w:rsid w:val="00CA4B4A"/>
    <w:rsid w:val="00CA6EE5"/>
    <w:rsid w:val="00CA7C23"/>
    <w:rsid w:val="00CB1D32"/>
    <w:rsid w:val="00CB5C44"/>
    <w:rsid w:val="00CB6265"/>
    <w:rsid w:val="00CB6F48"/>
    <w:rsid w:val="00CC1449"/>
    <w:rsid w:val="00CC38BB"/>
    <w:rsid w:val="00CC4047"/>
    <w:rsid w:val="00CC6191"/>
    <w:rsid w:val="00CD25FB"/>
    <w:rsid w:val="00CD5761"/>
    <w:rsid w:val="00CD74FC"/>
    <w:rsid w:val="00CE4CAA"/>
    <w:rsid w:val="00CE4F4F"/>
    <w:rsid w:val="00CE7505"/>
    <w:rsid w:val="00CF0FAD"/>
    <w:rsid w:val="00CF34F7"/>
    <w:rsid w:val="00CF3E1C"/>
    <w:rsid w:val="00D02C03"/>
    <w:rsid w:val="00D02E51"/>
    <w:rsid w:val="00D0340C"/>
    <w:rsid w:val="00D05F9E"/>
    <w:rsid w:val="00D06663"/>
    <w:rsid w:val="00D069E1"/>
    <w:rsid w:val="00D1411F"/>
    <w:rsid w:val="00D202CF"/>
    <w:rsid w:val="00D21DB2"/>
    <w:rsid w:val="00D22126"/>
    <w:rsid w:val="00D23850"/>
    <w:rsid w:val="00D24503"/>
    <w:rsid w:val="00D245E4"/>
    <w:rsid w:val="00D30955"/>
    <w:rsid w:val="00D36CC7"/>
    <w:rsid w:val="00D42373"/>
    <w:rsid w:val="00D42447"/>
    <w:rsid w:val="00D43A10"/>
    <w:rsid w:val="00D46E46"/>
    <w:rsid w:val="00D50992"/>
    <w:rsid w:val="00D535E8"/>
    <w:rsid w:val="00D542EC"/>
    <w:rsid w:val="00D54BA1"/>
    <w:rsid w:val="00D6119D"/>
    <w:rsid w:val="00D61702"/>
    <w:rsid w:val="00D62735"/>
    <w:rsid w:val="00D629B6"/>
    <w:rsid w:val="00D631D9"/>
    <w:rsid w:val="00D64580"/>
    <w:rsid w:val="00D6723A"/>
    <w:rsid w:val="00D70B1C"/>
    <w:rsid w:val="00D73195"/>
    <w:rsid w:val="00D75E46"/>
    <w:rsid w:val="00D850F2"/>
    <w:rsid w:val="00D85BE8"/>
    <w:rsid w:val="00D91B1B"/>
    <w:rsid w:val="00D91EB7"/>
    <w:rsid w:val="00D9218A"/>
    <w:rsid w:val="00D955FD"/>
    <w:rsid w:val="00DA0984"/>
    <w:rsid w:val="00DA1B76"/>
    <w:rsid w:val="00DA3714"/>
    <w:rsid w:val="00DA63BA"/>
    <w:rsid w:val="00DA7539"/>
    <w:rsid w:val="00DB059E"/>
    <w:rsid w:val="00DB56F4"/>
    <w:rsid w:val="00DC0B24"/>
    <w:rsid w:val="00DC1AA1"/>
    <w:rsid w:val="00DC3406"/>
    <w:rsid w:val="00DC37ED"/>
    <w:rsid w:val="00DC5DAE"/>
    <w:rsid w:val="00DD2136"/>
    <w:rsid w:val="00DD3736"/>
    <w:rsid w:val="00DD3BDC"/>
    <w:rsid w:val="00DD3D34"/>
    <w:rsid w:val="00DD6EA0"/>
    <w:rsid w:val="00DE1740"/>
    <w:rsid w:val="00DE18EF"/>
    <w:rsid w:val="00DE245B"/>
    <w:rsid w:val="00DE3826"/>
    <w:rsid w:val="00DE47C6"/>
    <w:rsid w:val="00DE5811"/>
    <w:rsid w:val="00DE710C"/>
    <w:rsid w:val="00DF0DA6"/>
    <w:rsid w:val="00DF386F"/>
    <w:rsid w:val="00DF49A5"/>
    <w:rsid w:val="00DF6D63"/>
    <w:rsid w:val="00E01E41"/>
    <w:rsid w:val="00E02D4C"/>
    <w:rsid w:val="00E06220"/>
    <w:rsid w:val="00E07B31"/>
    <w:rsid w:val="00E11EF7"/>
    <w:rsid w:val="00E16343"/>
    <w:rsid w:val="00E16CD4"/>
    <w:rsid w:val="00E25977"/>
    <w:rsid w:val="00E2619A"/>
    <w:rsid w:val="00E2669B"/>
    <w:rsid w:val="00E26EAD"/>
    <w:rsid w:val="00E2795E"/>
    <w:rsid w:val="00E32213"/>
    <w:rsid w:val="00E35AFD"/>
    <w:rsid w:val="00E4014E"/>
    <w:rsid w:val="00E414F1"/>
    <w:rsid w:val="00E41A6C"/>
    <w:rsid w:val="00E41C6F"/>
    <w:rsid w:val="00E41E70"/>
    <w:rsid w:val="00E4205D"/>
    <w:rsid w:val="00E45376"/>
    <w:rsid w:val="00E4767A"/>
    <w:rsid w:val="00E521BE"/>
    <w:rsid w:val="00E539F3"/>
    <w:rsid w:val="00E56756"/>
    <w:rsid w:val="00E632EF"/>
    <w:rsid w:val="00E64C2F"/>
    <w:rsid w:val="00E658CC"/>
    <w:rsid w:val="00E663CD"/>
    <w:rsid w:val="00E6687E"/>
    <w:rsid w:val="00E6694F"/>
    <w:rsid w:val="00E66EA2"/>
    <w:rsid w:val="00E67589"/>
    <w:rsid w:val="00E6760A"/>
    <w:rsid w:val="00E747EC"/>
    <w:rsid w:val="00E76431"/>
    <w:rsid w:val="00E80070"/>
    <w:rsid w:val="00E902E4"/>
    <w:rsid w:val="00E90C95"/>
    <w:rsid w:val="00E92ED3"/>
    <w:rsid w:val="00E95FD5"/>
    <w:rsid w:val="00E97378"/>
    <w:rsid w:val="00EA1158"/>
    <w:rsid w:val="00EA5EF3"/>
    <w:rsid w:val="00EA6527"/>
    <w:rsid w:val="00EA6BB9"/>
    <w:rsid w:val="00EB2E09"/>
    <w:rsid w:val="00EB5453"/>
    <w:rsid w:val="00EB59E4"/>
    <w:rsid w:val="00EB7162"/>
    <w:rsid w:val="00EC1251"/>
    <w:rsid w:val="00EC1641"/>
    <w:rsid w:val="00EC531B"/>
    <w:rsid w:val="00EC6C26"/>
    <w:rsid w:val="00EC7156"/>
    <w:rsid w:val="00ED1386"/>
    <w:rsid w:val="00ED1BB7"/>
    <w:rsid w:val="00ED2F2E"/>
    <w:rsid w:val="00ED3821"/>
    <w:rsid w:val="00ED4092"/>
    <w:rsid w:val="00ED4C39"/>
    <w:rsid w:val="00ED6828"/>
    <w:rsid w:val="00ED6962"/>
    <w:rsid w:val="00ED6CAF"/>
    <w:rsid w:val="00EE0A98"/>
    <w:rsid w:val="00EE0B3A"/>
    <w:rsid w:val="00EE0D0D"/>
    <w:rsid w:val="00EE0DB5"/>
    <w:rsid w:val="00EE20FF"/>
    <w:rsid w:val="00EF0E9C"/>
    <w:rsid w:val="00EF2C29"/>
    <w:rsid w:val="00EF36DA"/>
    <w:rsid w:val="00EF4E7E"/>
    <w:rsid w:val="00EF57FA"/>
    <w:rsid w:val="00F00B0E"/>
    <w:rsid w:val="00F016A4"/>
    <w:rsid w:val="00F0321E"/>
    <w:rsid w:val="00F0696E"/>
    <w:rsid w:val="00F0714E"/>
    <w:rsid w:val="00F1164E"/>
    <w:rsid w:val="00F12CD3"/>
    <w:rsid w:val="00F16E34"/>
    <w:rsid w:val="00F17913"/>
    <w:rsid w:val="00F2184D"/>
    <w:rsid w:val="00F2478C"/>
    <w:rsid w:val="00F24CCC"/>
    <w:rsid w:val="00F30469"/>
    <w:rsid w:val="00F32C9D"/>
    <w:rsid w:val="00F33F18"/>
    <w:rsid w:val="00F34B21"/>
    <w:rsid w:val="00F37D8D"/>
    <w:rsid w:val="00F4002D"/>
    <w:rsid w:val="00F4019D"/>
    <w:rsid w:val="00F40E4B"/>
    <w:rsid w:val="00F44960"/>
    <w:rsid w:val="00F4519F"/>
    <w:rsid w:val="00F46AF0"/>
    <w:rsid w:val="00F46DC6"/>
    <w:rsid w:val="00F4793B"/>
    <w:rsid w:val="00F533A3"/>
    <w:rsid w:val="00F53A49"/>
    <w:rsid w:val="00F541E6"/>
    <w:rsid w:val="00F54736"/>
    <w:rsid w:val="00F54E57"/>
    <w:rsid w:val="00F554CF"/>
    <w:rsid w:val="00F55684"/>
    <w:rsid w:val="00F57712"/>
    <w:rsid w:val="00F61A1D"/>
    <w:rsid w:val="00F71A6C"/>
    <w:rsid w:val="00F73A90"/>
    <w:rsid w:val="00F77580"/>
    <w:rsid w:val="00F77E36"/>
    <w:rsid w:val="00F826AF"/>
    <w:rsid w:val="00F82739"/>
    <w:rsid w:val="00F84CBE"/>
    <w:rsid w:val="00F85457"/>
    <w:rsid w:val="00F9045F"/>
    <w:rsid w:val="00F928C8"/>
    <w:rsid w:val="00F93A9C"/>
    <w:rsid w:val="00F94CF8"/>
    <w:rsid w:val="00F950F3"/>
    <w:rsid w:val="00F958A4"/>
    <w:rsid w:val="00F966A4"/>
    <w:rsid w:val="00F97611"/>
    <w:rsid w:val="00FA00D1"/>
    <w:rsid w:val="00FA04F8"/>
    <w:rsid w:val="00FA174C"/>
    <w:rsid w:val="00FA1929"/>
    <w:rsid w:val="00FA3550"/>
    <w:rsid w:val="00FB0F0B"/>
    <w:rsid w:val="00FB0FF1"/>
    <w:rsid w:val="00FB2BA5"/>
    <w:rsid w:val="00FB6F26"/>
    <w:rsid w:val="00FB7CFD"/>
    <w:rsid w:val="00FC0C66"/>
    <w:rsid w:val="00FD2947"/>
    <w:rsid w:val="00FD3452"/>
    <w:rsid w:val="00FD4253"/>
    <w:rsid w:val="00FD4755"/>
    <w:rsid w:val="00FD6E18"/>
    <w:rsid w:val="00FD6F98"/>
    <w:rsid w:val="00FD7326"/>
    <w:rsid w:val="00FE4883"/>
    <w:rsid w:val="00FE58D2"/>
    <w:rsid w:val="00FE5EBD"/>
    <w:rsid w:val="00FF39F9"/>
    <w:rsid w:val="00FF3DBC"/>
    <w:rsid w:val="00FF73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ddd">
      <v:fill color="#ddd" color2="#222"/>
      <v:stroke weight=".5pt"/>
      <v:textbox inset="2mm,1.5mm,2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BB"/>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13"/>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13"/>
      </w:numPr>
      <w:spacing w:before="480" w:after="240"/>
      <w:outlineLvl w:val="1"/>
    </w:pPr>
    <w:rPr>
      <w:rFonts w:ascii="Verdana" w:hAnsi="Verdana"/>
      <w:color w:val="003300"/>
      <w:sz w:val="28"/>
      <w:szCs w:val="28"/>
      <w:lang w:eastAsia="en-US"/>
    </w:rPr>
  </w:style>
  <w:style w:type="paragraph" w:styleId="Heading3">
    <w:name w:val="heading 3"/>
    <w:basedOn w:val="Normal"/>
    <w:next w:val="Normal"/>
    <w:qFormat/>
    <w:rsid w:val="000E09FC"/>
    <w:pPr>
      <w:keepNext/>
      <w:numPr>
        <w:ilvl w:val="2"/>
        <w:numId w:val="13"/>
      </w:numPr>
      <w:spacing w:before="0" w:after="240"/>
      <w:jc w:val="left"/>
      <w:outlineLvl w:val="2"/>
    </w:pPr>
    <w:rPr>
      <w:rFonts w:ascii="Verdana" w:hAnsi="Verdana"/>
      <w:snapToGrid w:val="0"/>
      <w:color w:val="003300"/>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57418C"/>
    <w:pPr>
      <w:spacing w:before="120" w:after="120"/>
      <w:ind w:left="567" w:hanging="567"/>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780E89"/>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780E89"/>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780E89"/>
    <w:pPr>
      <w:ind w:left="600"/>
    </w:pPr>
    <w:rPr>
      <w:rFonts w:ascii="Times New Roman" w:hAnsi="Times New Roman"/>
      <w:sz w:val="20"/>
      <w:szCs w:val="20"/>
      <w:lang w:eastAsia="en-US"/>
    </w:rPr>
  </w:style>
  <w:style w:type="paragraph" w:customStyle="1" w:styleId="Tableheadingtermsanddefs">
    <w:name w:val="Table heading (terms and def's)"/>
    <w:basedOn w:val="Normal"/>
    <w:rsid w:val="00344711"/>
    <w:pPr>
      <w:tabs>
        <w:tab w:val="left" w:pos="72"/>
      </w:tabs>
      <w:spacing w:before="100" w:after="100"/>
    </w:pPr>
    <w:rPr>
      <w:b/>
      <w:sz w:val="22"/>
      <w:szCs w:val="20"/>
      <w:lang w:val="en-GB" w:eastAsia="en-US"/>
    </w:rPr>
  </w:style>
  <w:style w:type="paragraph" w:customStyle="1" w:styleId="Tabletexttermsanddefs">
    <w:name w:val="Table text (terms and def's)"/>
    <w:basedOn w:val="Normal"/>
    <w:rsid w:val="00BC44BD"/>
    <w:pPr>
      <w:spacing w:before="100" w:after="100"/>
      <w:jc w:val="left"/>
    </w:pPr>
  </w:style>
  <w:style w:type="character" w:styleId="PageNumber">
    <w:name w:val="page number"/>
    <w:basedOn w:val="DefaultParagraphFont"/>
    <w:rsid w:val="001D6CAC"/>
  </w:style>
  <w:style w:type="paragraph" w:customStyle="1" w:styleId="Tableheading">
    <w:name w:val="Table heading"/>
    <w:basedOn w:val="Normal"/>
    <w:rsid w:val="00C81F8A"/>
    <w:pPr>
      <w:spacing w:before="0" w:after="0"/>
      <w:jc w:val="center"/>
    </w:pPr>
    <w:rPr>
      <w:b/>
      <w:bCs/>
      <w:szCs w:val="20"/>
    </w:r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4B369E"/>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val="en-AU" w:eastAsia="en-US" w:bidi="ar-SA"/>
    </w:rPr>
  </w:style>
  <w:style w:type="character" w:customStyle="1" w:styleId="Heading2Char">
    <w:name w:val="Heading 2 Char"/>
    <w:link w:val="Heading2"/>
    <w:rsid w:val="00466A5A"/>
    <w:rPr>
      <w:rFonts w:ascii="Verdana" w:hAnsi="Verdana"/>
      <w:color w:val="003300"/>
      <w:sz w:val="28"/>
      <w:szCs w:val="28"/>
      <w:lang w:val="en-AU" w:eastAsia="en-US" w:bidi="ar-SA"/>
    </w:rPr>
  </w:style>
  <w:style w:type="paragraph" w:customStyle="1" w:styleId="Tabletext">
    <w:name w:val="Table text"/>
    <w:basedOn w:val="Normal"/>
    <w:rsid w:val="00C81F8A"/>
    <w:pPr>
      <w:spacing w:before="0" w:after="0"/>
      <w:jc w:val="center"/>
    </w:pPr>
    <w:rPr>
      <w:szCs w:val="20"/>
    </w:rPr>
  </w:style>
  <w:style w:type="paragraph" w:styleId="TableofFigures">
    <w:name w:val="table of figures"/>
    <w:basedOn w:val="Normal"/>
    <w:next w:val="Normal"/>
    <w:semiHidden/>
    <w:rsid w:val="00780E89"/>
    <w:pPr>
      <w:spacing w:before="100" w:after="100"/>
    </w:pPr>
  </w:style>
  <w:style w:type="paragraph" w:styleId="TOC3">
    <w:name w:val="toc 3"/>
    <w:basedOn w:val="Normal"/>
    <w:next w:val="Normal"/>
    <w:autoRedefine/>
    <w:uiPriority w:val="39"/>
    <w:rsid w:val="00780E89"/>
    <w:pPr>
      <w:tabs>
        <w:tab w:val="right" w:leader="dot" w:pos="8505"/>
      </w:tabs>
      <w:spacing w:before="100" w:after="100"/>
      <w:ind w:left="1276" w:hanging="709"/>
    </w:pPr>
  </w:style>
  <w:style w:type="paragraph" w:styleId="TOC4">
    <w:name w:val="toc 4"/>
    <w:basedOn w:val="TOC1"/>
    <w:next w:val="Normal"/>
    <w:autoRedefine/>
    <w:semiHidden/>
    <w:rsid w:val="00780E89"/>
  </w:style>
  <w:style w:type="paragraph" w:styleId="Header">
    <w:name w:val="header"/>
    <w:basedOn w:val="Normal"/>
    <w:rsid w:val="00780E89"/>
    <w:pPr>
      <w:tabs>
        <w:tab w:val="center" w:pos="4153"/>
        <w:tab w:val="right" w:pos="8306"/>
      </w:tabs>
    </w:pPr>
  </w:style>
  <w:style w:type="paragraph" w:customStyle="1" w:styleId="Itemisedlist1">
    <w:name w:val="Itemised list 1"/>
    <w:basedOn w:val="ListNumber"/>
    <w:link w:val="Itemisedlist1CharChar"/>
    <w:rsid w:val="006970FE"/>
    <w:rPr>
      <w:szCs w:val="20"/>
      <w:lang w:eastAsia="en-US"/>
    </w:rPr>
  </w:style>
  <w:style w:type="character" w:customStyle="1" w:styleId="Itemisedlist1CharChar">
    <w:name w:val="Itemised list 1 Char Char"/>
    <w:link w:val="Itemisedlist1"/>
    <w:rsid w:val="006970FE"/>
    <w:rPr>
      <w:rFonts w:ascii="Calibri" w:hAnsi="Calibri"/>
      <w:sz w:val="23"/>
      <w:lang w:val="en-AU" w:eastAsia="en-US" w:bidi="ar-SA"/>
    </w:rPr>
  </w:style>
  <w:style w:type="paragraph" w:styleId="ListNumber">
    <w:name w:val="List Number"/>
    <w:basedOn w:val="Normal"/>
    <w:rsid w:val="000F32C8"/>
    <w:pPr>
      <w:numPr>
        <w:numId w:val="8"/>
      </w:numPr>
    </w:pPr>
  </w:style>
  <w:style w:type="paragraph" w:styleId="BalloonText">
    <w:name w:val="Balloon Text"/>
    <w:basedOn w:val="Normal"/>
    <w:link w:val="BalloonTextChar"/>
    <w:rsid w:val="00DD6EA0"/>
    <w:pPr>
      <w:spacing w:before="0" w:after="0"/>
    </w:pPr>
    <w:rPr>
      <w:rFonts w:ascii="Tahoma" w:hAnsi="Tahoma"/>
      <w:sz w:val="16"/>
      <w:szCs w:val="16"/>
      <w:lang w:val="x-none" w:eastAsia="x-none"/>
    </w:rPr>
  </w:style>
  <w:style w:type="character" w:customStyle="1" w:styleId="BalloonTextChar">
    <w:name w:val="Balloon Text Char"/>
    <w:link w:val="BalloonText"/>
    <w:rsid w:val="00DD6EA0"/>
    <w:rPr>
      <w:rFonts w:ascii="Tahoma" w:hAnsi="Tahoma" w:cs="Tahoma"/>
      <w:sz w:val="16"/>
      <w:szCs w:val="16"/>
    </w:rPr>
  </w:style>
  <w:style w:type="character" w:styleId="CommentReference">
    <w:name w:val="annotation reference"/>
    <w:rsid w:val="00996AB4"/>
    <w:rPr>
      <w:sz w:val="16"/>
      <w:szCs w:val="16"/>
    </w:rPr>
  </w:style>
  <w:style w:type="paragraph" w:styleId="CommentText">
    <w:name w:val="annotation text"/>
    <w:basedOn w:val="Normal"/>
    <w:link w:val="CommentTextChar"/>
    <w:rsid w:val="00996AB4"/>
    <w:rPr>
      <w:sz w:val="20"/>
      <w:szCs w:val="20"/>
      <w:lang w:val="x-none" w:eastAsia="x-none"/>
    </w:rPr>
  </w:style>
  <w:style w:type="character" w:customStyle="1" w:styleId="CommentTextChar">
    <w:name w:val="Comment Text Char"/>
    <w:link w:val="CommentText"/>
    <w:rsid w:val="00996AB4"/>
    <w:rPr>
      <w:rFonts w:ascii="Calibri" w:hAnsi="Calibri"/>
    </w:rPr>
  </w:style>
  <w:style w:type="paragraph" w:styleId="CommentSubject">
    <w:name w:val="annotation subject"/>
    <w:basedOn w:val="CommentText"/>
    <w:next w:val="CommentText"/>
    <w:link w:val="CommentSubjectChar"/>
    <w:rsid w:val="00996AB4"/>
    <w:rPr>
      <w:b/>
      <w:bCs/>
    </w:rPr>
  </w:style>
  <w:style w:type="character" w:customStyle="1" w:styleId="CommentSubjectChar">
    <w:name w:val="Comment Subject Char"/>
    <w:link w:val="CommentSubject"/>
    <w:rsid w:val="00996AB4"/>
    <w:rPr>
      <w:rFonts w:ascii="Calibri" w:hAnsi="Calibri"/>
      <w:b/>
      <w:bCs/>
    </w:rPr>
  </w:style>
  <w:style w:type="paragraph" w:customStyle="1" w:styleId="NormalNote">
    <w:name w:val="Normal Note"/>
    <w:basedOn w:val="Normal"/>
    <w:next w:val="Normal"/>
    <w:rsid w:val="00CB5C44"/>
    <w:pPr>
      <w:spacing w:before="280" w:after="280"/>
    </w:pPr>
    <w:rPr>
      <w:sz w:val="21"/>
      <w:szCs w:val="21"/>
    </w:rPr>
  </w:style>
  <w:style w:type="paragraph" w:styleId="Revision">
    <w:name w:val="Revision"/>
    <w:hidden/>
    <w:uiPriority w:val="99"/>
    <w:semiHidden/>
    <w:rsid w:val="001F7C7C"/>
    <w:rPr>
      <w:rFonts w:ascii="Calibri" w:hAnsi="Calibri"/>
      <w:sz w:val="23"/>
      <w:szCs w:val="24"/>
    </w:rPr>
  </w:style>
  <w:style w:type="table" w:styleId="TableContemporary">
    <w:name w:val="Table Contemporary"/>
    <w:basedOn w:val="TableNormal"/>
    <w:rsid w:val="00BF7263"/>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B45EBE"/>
    <w:pPr>
      <w:jc w:val="both"/>
    </w:pPr>
    <w:rPr>
      <w:rFonts w:ascii="Calibri" w:hAnsi="Calibri"/>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5BB"/>
    <w:pPr>
      <w:spacing w:before="200" w:after="200"/>
      <w:jc w:val="both"/>
    </w:pPr>
    <w:rPr>
      <w:rFonts w:ascii="Calibri" w:hAnsi="Calibri"/>
      <w:sz w:val="23"/>
      <w:szCs w:val="24"/>
    </w:rPr>
  </w:style>
  <w:style w:type="paragraph" w:styleId="Heading1">
    <w:name w:val="heading 1"/>
    <w:next w:val="Normal"/>
    <w:link w:val="Heading1Char"/>
    <w:qFormat/>
    <w:rsid w:val="009D75BB"/>
    <w:pPr>
      <w:keepNext/>
      <w:keepLines/>
      <w:numPr>
        <w:numId w:val="13"/>
      </w:numPr>
      <w:tabs>
        <w:tab w:val="left" w:pos="1418"/>
      </w:tabs>
      <w:spacing w:before="240" w:after="240"/>
      <w:outlineLvl w:val="0"/>
    </w:pPr>
    <w:rPr>
      <w:rFonts w:ascii="Verdana" w:hAnsi="Verdana"/>
      <w:b/>
      <w:color w:val="003300"/>
      <w:sz w:val="30"/>
      <w:szCs w:val="30"/>
      <w:lang w:eastAsia="en-US"/>
    </w:rPr>
  </w:style>
  <w:style w:type="paragraph" w:styleId="Heading2">
    <w:name w:val="heading 2"/>
    <w:next w:val="Normal"/>
    <w:link w:val="Heading2Char"/>
    <w:qFormat/>
    <w:rsid w:val="00466A5A"/>
    <w:pPr>
      <w:keepNext/>
      <w:numPr>
        <w:ilvl w:val="1"/>
        <w:numId w:val="13"/>
      </w:numPr>
      <w:spacing w:before="480" w:after="240"/>
      <w:outlineLvl w:val="1"/>
    </w:pPr>
    <w:rPr>
      <w:rFonts w:ascii="Verdana" w:hAnsi="Verdana"/>
      <w:color w:val="003300"/>
      <w:sz w:val="28"/>
      <w:szCs w:val="28"/>
      <w:lang w:eastAsia="en-US"/>
    </w:rPr>
  </w:style>
  <w:style w:type="paragraph" w:styleId="Heading3">
    <w:name w:val="heading 3"/>
    <w:basedOn w:val="Normal"/>
    <w:next w:val="Normal"/>
    <w:qFormat/>
    <w:rsid w:val="000E09FC"/>
    <w:pPr>
      <w:keepNext/>
      <w:numPr>
        <w:ilvl w:val="2"/>
        <w:numId w:val="13"/>
      </w:numPr>
      <w:spacing w:before="0" w:after="240"/>
      <w:jc w:val="left"/>
      <w:outlineLvl w:val="2"/>
    </w:pPr>
    <w:rPr>
      <w:rFonts w:ascii="Verdana" w:hAnsi="Verdana"/>
      <w:snapToGrid w:val="0"/>
      <w:color w:val="003300"/>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66A5A"/>
    <w:pPr>
      <w:tabs>
        <w:tab w:val="center" w:pos="4153"/>
        <w:tab w:val="right" w:pos="8306"/>
      </w:tabs>
      <w:spacing w:before="0" w:after="0"/>
    </w:pPr>
    <w:rPr>
      <w:sz w:val="18"/>
    </w:rPr>
  </w:style>
  <w:style w:type="paragraph" w:customStyle="1" w:styleId="Bibliographyreference">
    <w:name w:val="Bibliography reference"/>
    <w:basedOn w:val="Normal"/>
    <w:rsid w:val="0057418C"/>
    <w:pPr>
      <w:spacing w:before="120" w:after="120"/>
      <w:ind w:left="567" w:hanging="567"/>
      <w:jc w:val="left"/>
    </w:pPr>
    <w:rPr>
      <w:szCs w:val="20"/>
    </w:rPr>
  </w:style>
  <w:style w:type="paragraph" w:customStyle="1" w:styleId="Heading1Nonumbers">
    <w:name w:val="Heading 1 No numbers"/>
    <w:basedOn w:val="Heading1"/>
    <w:rsid w:val="009D75BB"/>
    <w:pPr>
      <w:numPr>
        <w:numId w:val="0"/>
      </w:numPr>
    </w:pPr>
    <w:rPr>
      <w:bCs/>
      <w:szCs w:val="20"/>
    </w:rPr>
  </w:style>
  <w:style w:type="paragraph" w:customStyle="1" w:styleId="TitleVersion">
    <w:name w:val="Title Version"/>
    <w:basedOn w:val="Normal"/>
    <w:rsid w:val="005E6C66"/>
    <w:pPr>
      <w:suppressAutoHyphens/>
      <w:autoSpaceDE w:val="0"/>
      <w:autoSpaceDN w:val="0"/>
      <w:adjustRightInd w:val="0"/>
      <w:spacing w:before="60" w:after="60" w:line="400" w:lineRule="atLeast"/>
      <w:jc w:val="right"/>
      <w:textAlignment w:val="center"/>
    </w:pPr>
    <w:rPr>
      <w:sz w:val="28"/>
      <w:szCs w:val="20"/>
      <w:lang w:val="en-US" w:eastAsia="en-US"/>
    </w:rPr>
  </w:style>
  <w:style w:type="paragraph" w:customStyle="1" w:styleId="FigureandTableCaption">
    <w:name w:val="Figure and Table Caption"/>
    <w:basedOn w:val="Normal"/>
    <w:rsid w:val="00F826AF"/>
    <w:pPr>
      <w:ind w:left="567"/>
      <w:jc w:val="center"/>
    </w:pPr>
    <w:rPr>
      <w:rFonts w:ascii="Verdana" w:hAnsi="Verdana"/>
      <w:b/>
      <w:bCs/>
      <w:color w:val="003300"/>
      <w:sz w:val="20"/>
      <w:szCs w:val="20"/>
      <w:lang w:eastAsia="en-US"/>
    </w:rPr>
  </w:style>
  <w:style w:type="paragraph" w:styleId="TOC1">
    <w:name w:val="toc 1"/>
    <w:basedOn w:val="Normal"/>
    <w:next w:val="Normal"/>
    <w:autoRedefine/>
    <w:uiPriority w:val="39"/>
    <w:rsid w:val="00780E89"/>
    <w:pPr>
      <w:tabs>
        <w:tab w:val="right" w:leader="dot" w:pos="8505"/>
      </w:tabs>
      <w:spacing w:before="100" w:after="100"/>
      <w:ind w:left="369" w:hanging="369"/>
    </w:pPr>
    <w:rPr>
      <w:rFonts w:cs="Arial"/>
      <w:b/>
      <w:bCs/>
      <w:szCs w:val="22"/>
      <w:lang w:eastAsia="en-US"/>
    </w:rPr>
  </w:style>
  <w:style w:type="paragraph" w:styleId="TOC2">
    <w:name w:val="toc 2"/>
    <w:basedOn w:val="Normal"/>
    <w:next w:val="Normal"/>
    <w:autoRedefine/>
    <w:uiPriority w:val="39"/>
    <w:rsid w:val="00780E89"/>
    <w:pPr>
      <w:tabs>
        <w:tab w:val="right" w:leader="dot" w:pos="8505"/>
      </w:tabs>
      <w:spacing w:before="100" w:after="100"/>
      <w:ind w:left="936" w:hanging="567"/>
    </w:pPr>
    <w:rPr>
      <w:bCs/>
      <w:szCs w:val="20"/>
      <w:lang w:eastAsia="en-US"/>
    </w:rPr>
  </w:style>
  <w:style w:type="character" w:styleId="Hyperlink">
    <w:name w:val="Hyperlink"/>
    <w:uiPriority w:val="99"/>
    <w:rsid w:val="00352EE4"/>
    <w:rPr>
      <w:color w:val="0000FF"/>
      <w:u w:val="single"/>
    </w:rPr>
  </w:style>
  <w:style w:type="paragraph" w:customStyle="1" w:styleId="Forewordandappendixtext">
    <w:name w:val="Foreword and appendix text"/>
    <w:basedOn w:val="Normal"/>
    <w:rsid w:val="00344711"/>
    <w:rPr>
      <w:rFonts w:ascii="Verdana" w:hAnsi="Verdana"/>
      <w:sz w:val="20"/>
      <w:szCs w:val="20"/>
      <w:lang w:eastAsia="en-US"/>
    </w:rPr>
  </w:style>
  <w:style w:type="table" w:styleId="TableGrid">
    <w:name w:val="Table Grid"/>
    <w:basedOn w:val="TableNormal"/>
    <w:rsid w:val="00344711"/>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780E89"/>
    <w:pPr>
      <w:ind w:left="600"/>
    </w:pPr>
    <w:rPr>
      <w:rFonts w:ascii="Times New Roman" w:hAnsi="Times New Roman"/>
      <w:sz w:val="20"/>
      <w:szCs w:val="20"/>
      <w:lang w:eastAsia="en-US"/>
    </w:rPr>
  </w:style>
  <w:style w:type="paragraph" w:customStyle="1" w:styleId="Tableheadingtermsanddefs">
    <w:name w:val="Table heading (terms and def's)"/>
    <w:basedOn w:val="Normal"/>
    <w:rsid w:val="00344711"/>
    <w:pPr>
      <w:tabs>
        <w:tab w:val="left" w:pos="72"/>
      </w:tabs>
      <w:spacing w:before="100" w:after="100"/>
    </w:pPr>
    <w:rPr>
      <w:b/>
      <w:sz w:val="22"/>
      <w:szCs w:val="20"/>
      <w:lang w:val="en-GB" w:eastAsia="en-US"/>
    </w:rPr>
  </w:style>
  <w:style w:type="paragraph" w:customStyle="1" w:styleId="Tabletexttermsanddefs">
    <w:name w:val="Table text (terms and def's)"/>
    <w:basedOn w:val="Normal"/>
    <w:rsid w:val="00BC44BD"/>
    <w:pPr>
      <w:spacing w:before="100" w:after="100"/>
      <w:jc w:val="left"/>
    </w:pPr>
  </w:style>
  <w:style w:type="character" w:styleId="PageNumber">
    <w:name w:val="page number"/>
    <w:basedOn w:val="DefaultParagraphFont"/>
    <w:rsid w:val="001D6CAC"/>
  </w:style>
  <w:style w:type="paragraph" w:customStyle="1" w:styleId="Tableheading">
    <w:name w:val="Table heading"/>
    <w:basedOn w:val="Normal"/>
    <w:rsid w:val="00C81F8A"/>
    <w:pPr>
      <w:spacing w:before="0" w:after="0"/>
      <w:jc w:val="center"/>
    </w:pPr>
    <w:rPr>
      <w:b/>
      <w:bCs/>
      <w:szCs w:val="20"/>
    </w:rPr>
  </w:style>
  <w:style w:type="paragraph" w:styleId="DocumentMap">
    <w:name w:val="Document Map"/>
    <w:basedOn w:val="Normal"/>
    <w:semiHidden/>
    <w:rsid w:val="00471847"/>
    <w:pPr>
      <w:shd w:val="clear" w:color="auto" w:fill="000080"/>
    </w:pPr>
    <w:rPr>
      <w:rFonts w:ascii="Tahoma" w:hAnsi="Tahoma" w:cs="Tahoma"/>
      <w:sz w:val="20"/>
      <w:szCs w:val="20"/>
    </w:rPr>
  </w:style>
  <w:style w:type="paragraph" w:customStyle="1" w:styleId="Title2">
    <w:name w:val="Title 2"/>
    <w:basedOn w:val="Normal"/>
    <w:rsid w:val="009D75BB"/>
    <w:pPr>
      <w:spacing w:before="400"/>
    </w:pPr>
    <w:rPr>
      <w:b/>
      <w:color w:val="008000"/>
      <w:sz w:val="32"/>
      <w:szCs w:val="20"/>
      <w:lang w:eastAsia="en-US"/>
    </w:rPr>
  </w:style>
  <w:style w:type="paragraph" w:customStyle="1" w:styleId="HeaderImage">
    <w:name w:val="Header Image"/>
    <w:basedOn w:val="Footer"/>
    <w:rsid w:val="002C3577"/>
    <w:pPr>
      <w:jc w:val="right"/>
    </w:pPr>
  </w:style>
  <w:style w:type="character" w:styleId="FootnoteReference">
    <w:name w:val="footnote reference"/>
    <w:semiHidden/>
    <w:rsid w:val="00BC44BD"/>
    <w:rPr>
      <w:vertAlign w:val="superscript"/>
    </w:rPr>
  </w:style>
  <w:style w:type="paragraph" w:customStyle="1" w:styleId="TitleFrontPage">
    <w:name w:val="Title (Front Page)"/>
    <w:basedOn w:val="Normal"/>
    <w:rsid w:val="004B369E"/>
    <w:pPr>
      <w:spacing w:after="480"/>
      <w:jc w:val="left"/>
    </w:pPr>
    <w:rPr>
      <w:rFonts w:ascii="Verdana" w:hAnsi="Verdana"/>
      <w:b/>
      <w:bCs/>
      <w:color w:val="003300"/>
      <w:spacing w:val="22"/>
      <w:kern w:val="44"/>
      <w:sz w:val="44"/>
      <w:szCs w:val="20"/>
      <w:lang w:eastAsia="en-US"/>
    </w:rPr>
  </w:style>
  <w:style w:type="character" w:customStyle="1" w:styleId="Heading1Char">
    <w:name w:val="Heading 1 Char"/>
    <w:link w:val="Heading1"/>
    <w:rsid w:val="00F32C9D"/>
    <w:rPr>
      <w:rFonts w:ascii="Verdana" w:hAnsi="Verdana"/>
      <w:b/>
      <w:color w:val="003300"/>
      <w:sz w:val="30"/>
      <w:szCs w:val="30"/>
      <w:lang w:val="en-AU" w:eastAsia="en-US" w:bidi="ar-SA"/>
    </w:rPr>
  </w:style>
  <w:style w:type="character" w:customStyle="1" w:styleId="Heading2Char">
    <w:name w:val="Heading 2 Char"/>
    <w:link w:val="Heading2"/>
    <w:rsid w:val="00466A5A"/>
    <w:rPr>
      <w:rFonts w:ascii="Verdana" w:hAnsi="Verdana"/>
      <w:color w:val="003300"/>
      <w:sz w:val="28"/>
      <w:szCs w:val="28"/>
      <w:lang w:val="en-AU" w:eastAsia="en-US" w:bidi="ar-SA"/>
    </w:rPr>
  </w:style>
  <w:style w:type="paragraph" w:customStyle="1" w:styleId="Tabletext">
    <w:name w:val="Table text"/>
    <w:basedOn w:val="Normal"/>
    <w:rsid w:val="00C81F8A"/>
    <w:pPr>
      <w:spacing w:before="0" w:after="0"/>
      <w:jc w:val="center"/>
    </w:pPr>
    <w:rPr>
      <w:szCs w:val="20"/>
    </w:rPr>
  </w:style>
  <w:style w:type="paragraph" w:styleId="TableofFigures">
    <w:name w:val="table of figures"/>
    <w:basedOn w:val="Normal"/>
    <w:next w:val="Normal"/>
    <w:semiHidden/>
    <w:rsid w:val="00780E89"/>
    <w:pPr>
      <w:spacing w:before="100" w:after="100"/>
    </w:pPr>
  </w:style>
  <w:style w:type="paragraph" w:styleId="TOC3">
    <w:name w:val="toc 3"/>
    <w:basedOn w:val="Normal"/>
    <w:next w:val="Normal"/>
    <w:autoRedefine/>
    <w:uiPriority w:val="39"/>
    <w:rsid w:val="00780E89"/>
    <w:pPr>
      <w:tabs>
        <w:tab w:val="right" w:leader="dot" w:pos="8505"/>
      </w:tabs>
      <w:spacing w:before="100" w:after="100"/>
      <w:ind w:left="1276" w:hanging="709"/>
    </w:pPr>
  </w:style>
  <w:style w:type="paragraph" w:styleId="TOC4">
    <w:name w:val="toc 4"/>
    <w:basedOn w:val="TOC1"/>
    <w:next w:val="Normal"/>
    <w:autoRedefine/>
    <w:semiHidden/>
    <w:rsid w:val="00780E89"/>
  </w:style>
  <w:style w:type="paragraph" w:styleId="Header">
    <w:name w:val="header"/>
    <w:basedOn w:val="Normal"/>
    <w:rsid w:val="00780E89"/>
    <w:pPr>
      <w:tabs>
        <w:tab w:val="center" w:pos="4153"/>
        <w:tab w:val="right" w:pos="8306"/>
      </w:tabs>
    </w:pPr>
  </w:style>
  <w:style w:type="paragraph" w:customStyle="1" w:styleId="Itemisedlist1">
    <w:name w:val="Itemised list 1"/>
    <w:basedOn w:val="ListNumber"/>
    <w:link w:val="Itemisedlist1CharChar"/>
    <w:rsid w:val="006970FE"/>
    <w:rPr>
      <w:szCs w:val="20"/>
      <w:lang w:eastAsia="en-US"/>
    </w:rPr>
  </w:style>
  <w:style w:type="character" w:customStyle="1" w:styleId="Itemisedlist1CharChar">
    <w:name w:val="Itemised list 1 Char Char"/>
    <w:link w:val="Itemisedlist1"/>
    <w:rsid w:val="006970FE"/>
    <w:rPr>
      <w:rFonts w:ascii="Calibri" w:hAnsi="Calibri"/>
      <w:sz w:val="23"/>
      <w:lang w:val="en-AU" w:eastAsia="en-US" w:bidi="ar-SA"/>
    </w:rPr>
  </w:style>
  <w:style w:type="paragraph" w:styleId="ListNumber">
    <w:name w:val="List Number"/>
    <w:basedOn w:val="Normal"/>
    <w:rsid w:val="000F32C8"/>
    <w:pPr>
      <w:numPr>
        <w:numId w:val="8"/>
      </w:numPr>
    </w:pPr>
  </w:style>
  <w:style w:type="paragraph" w:styleId="BalloonText">
    <w:name w:val="Balloon Text"/>
    <w:basedOn w:val="Normal"/>
    <w:link w:val="BalloonTextChar"/>
    <w:rsid w:val="00DD6EA0"/>
    <w:pPr>
      <w:spacing w:before="0" w:after="0"/>
    </w:pPr>
    <w:rPr>
      <w:rFonts w:ascii="Tahoma" w:hAnsi="Tahoma"/>
      <w:sz w:val="16"/>
      <w:szCs w:val="16"/>
      <w:lang w:val="x-none" w:eastAsia="x-none"/>
    </w:rPr>
  </w:style>
  <w:style w:type="character" w:customStyle="1" w:styleId="BalloonTextChar">
    <w:name w:val="Balloon Text Char"/>
    <w:link w:val="BalloonText"/>
    <w:rsid w:val="00DD6EA0"/>
    <w:rPr>
      <w:rFonts w:ascii="Tahoma" w:hAnsi="Tahoma" w:cs="Tahoma"/>
      <w:sz w:val="16"/>
      <w:szCs w:val="16"/>
    </w:rPr>
  </w:style>
  <w:style w:type="character" w:styleId="CommentReference">
    <w:name w:val="annotation reference"/>
    <w:rsid w:val="00996AB4"/>
    <w:rPr>
      <w:sz w:val="16"/>
      <w:szCs w:val="16"/>
    </w:rPr>
  </w:style>
  <w:style w:type="paragraph" w:styleId="CommentText">
    <w:name w:val="annotation text"/>
    <w:basedOn w:val="Normal"/>
    <w:link w:val="CommentTextChar"/>
    <w:rsid w:val="00996AB4"/>
    <w:rPr>
      <w:sz w:val="20"/>
      <w:szCs w:val="20"/>
      <w:lang w:val="x-none" w:eastAsia="x-none"/>
    </w:rPr>
  </w:style>
  <w:style w:type="character" w:customStyle="1" w:styleId="CommentTextChar">
    <w:name w:val="Comment Text Char"/>
    <w:link w:val="CommentText"/>
    <w:rsid w:val="00996AB4"/>
    <w:rPr>
      <w:rFonts w:ascii="Calibri" w:hAnsi="Calibri"/>
    </w:rPr>
  </w:style>
  <w:style w:type="paragraph" w:styleId="CommentSubject">
    <w:name w:val="annotation subject"/>
    <w:basedOn w:val="CommentText"/>
    <w:next w:val="CommentText"/>
    <w:link w:val="CommentSubjectChar"/>
    <w:rsid w:val="00996AB4"/>
    <w:rPr>
      <w:b/>
      <w:bCs/>
    </w:rPr>
  </w:style>
  <w:style w:type="character" w:customStyle="1" w:styleId="CommentSubjectChar">
    <w:name w:val="Comment Subject Char"/>
    <w:link w:val="CommentSubject"/>
    <w:rsid w:val="00996AB4"/>
    <w:rPr>
      <w:rFonts w:ascii="Calibri" w:hAnsi="Calibri"/>
      <w:b/>
      <w:bCs/>
    </w:rPr>
  </w:style>
  <w:style w:type="paragraph" w:customStyle="1" w:styleId="NormalNote">
    <w:name w:val="Normal Note"/>
    <w:basedOn w:val="Normal"/>
    <w:next w:val="Normal"/>
    <w:rsid w:val="00CB5C44"/>
    <w:pPr>
      <w:spacing w:before="280" w:after="280"/>
    </w:pPr>
    <w:rPr>
      <w:sz w:val="21"/>
      <w:szCs w:val="21"/>
    </w:rPr>
  </w:style>
  <w:style w:type="paragraph" w:styleId="Revision">
    <w:name w:val="Revision"/>
    <w:hidden/>
    <w:uiPriority w:val="99"/>
    <w:semiHidden/>
    <w:rsid w:val="001F7C7C"/>
    <w:rPr>
      <w:rFonts w:ascii="Calibri" w:hAnsi="Calibri"/>
      <w:sz w:val="23"/>
      <w:szCs w:val="24"/>
    </w:rPr>
  </w:style>
  <w:style w:type="table" w:styleId="TableContemporary">
    <w:name w:val="Table Contemporary"/>
    <w:basedOn w:val="TableNormal"/>
    <w:rsid w:val="00BF7263"/>
    <w:pPr>
      <w:spacing w:before="200" w:after="20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B45EBE"/>
    <w:pPr>
      <w:jc w:val="both"/>
    </w:pPr>
    <w:rPr>
      <w:rFonts w:ascii="Calibri" w:hAnsi="Calibri"/>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16981">
      <w:bodyDiv w:val="1"/>
      <w:marLeft w:val="0"/>
      <w:marRight w:val="0"/>
      <w:marTop w:val="0"/>
      <w:marBottom w:val="0"/>
      <w:divBdr>
        <w:top w:val="none" w:sz="0" w:space="0" w:color="auto"/>
        <w:left w:val="none" w:sz="0" w:space="0" w:color="auto"/>
        <w:bottom w:val="none" w:sz="0" w:space="0" w:color="auto"/>
        <w:right w:val="none" w:sz="0" w:space="0" w:color="auto"/>
      </w:divBdr>
    </w:div>
    <w:div w:id="157948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eativecommons.org/licenses/by/3.0/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1.jpg@01CFCD17.79C9BD8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6C03F3C4.dotm</Template>
  <TotalTime>37</TotalTime>
  <Pages>13</Pages>
  <Words>3086</Words>
  <Characters>19406</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Standard for Australian Survey Control</vt:lpstr>
    </vt:vector>
  </TitlesOfParts>
  <Company>ICSM</Company>
  <LinksUpToDate>false</LinksUpToDate>
  <CharactersWithSpaces>22448</CharactersWithSpaces>
  <SharedDoc>false</SharedDoc>
  <HLinks>
    <vt:vector size="108" baseType="variant">
      <vt:variant>
        <vt:i4>1835057</vt:i4>
      </vt:variant>
      <vt:variant>
        <vt:i4>110</vt:i4>
      </vt:variant>
      <vt:variant>
        <vt:i4>0</vt:i4>
      </vt:variant>
      <vt:variant>
        <vt:i4>5</vt:i4>
      </vt:variant>
      <vt:variant>
        <vt:lpwstr/>
      </vt:variant>
      <vt:variant>
        <vt:lpwstr>_Toc358639910</vt:lpwstr>
      </vt:variant>
      <vt:variant>
        <vt:i4>1900593</vt:i4>
      </vt:variant>
      <vt:variant>
        <vt:i4>104</vt:i4>
      </vt:variant>
      <vt:variant>
        <vt:i4>0</vt:i4>
      </vt:variant>
      <vt:variant>
        <vt:i4>5</vt:i4>
      </vt:variant>
      <vt:variant>
        <vt:lpwstr/>
      </vt:variant>
      <vt:variant>
        <vt:lpwstr>_Toc358639909</vt:lpwstr>
      </vt:variant>
      <vt:variant>
        <vt:i4>1900593</vt:i4>
      </vt:variant>
      <vt:variant>
        <vt:i4>98</vt:i4>
      </vt:variant>
      <vt:variant>
        <vt:i4>0</vt:i4>
      </vt:variant>
      <vt:variant>
        <vt:i4>5</vt:i4>
      </vt:variant>
      <vt:variant>
        <vt:lpwstr/>
      </vt:variant>
      <vt:variant>
        <vt:lpwstr>_Toc358639908</vt:lpwstr>
      </vt:variant>
      <vt:variant>
        <vt:i4>1900593</vt:i4>
      </vt:variant>
      <vt:variant>
        <vt:i4>92</vt:i4>
      </vt:variant>
      <vt:variant>
        <vt:i4>0</vt:i4>
      </vt:variant>
      <vt:variant>
        <vt:i4>5</vt:i4>
      </vt:variant>
      <vt:variant>
        <vt:lpwstr/>
      </vt:variant>
      <vt:variant>
        <vt:lpwstr>_Toc358639907</vt:lpwstr>
      </vt:variant>
      <vt:variant>
        <vt:i4>1900593</vt:i4>
      </vt:variant>
      <vt:variant>
        <vt:i4>86</vt:i4>
      </vt:variant>
      <vt:variant>
        <vt:i4>0</vt:i4>
      </vt:variant>
      <vt:variant>
        <vt:i4>5</vt:i4>
      </vt:variant>
      <vt:variant>
        <vt:lpwstr/>
      </vt:variant>
      <vt:variant>
        <vt:lpwstr>_Toc358639906</vt:lpwstr>
      </vt:variant>
      <vt:variant>
        <vt:i4>1900593</vt:i4>
      </vt:variant>
      <vt:variant>
        <vt:i4>80</vt:i4>
      </vt:variant>
      <vt:variant>
        <vt:i4>0</vt:i4>
      </vt:variant>
      <vt:variant>
        <vt:i4>5</vt:i4>
      </vt:variant>
      <vt:variant>
        <vt:lpwstr/>
      </vt:variant>
      <vt:variant>
        <vt:lpwstr>_Toc358639905</vt:lpwstr>
      </vt:variant>
      <vt:variant>
        <vt:i4>1900593</vt:i4>
      </vt:variant>
      <vt:variant>
        <vt:i4>74</vt:i4>
      </vt:variant>
      <vt:variant>
        <vt:i4>0</vt:i4>
      </vt:variant>
      <vt:variant>
        <vt:i4>5</vt:i4>
      </vt:variant>
      <vt:variant>
        <vt:lpwstr/>
      </vt:variant>
      <vt:variant>
        <vt:lpwstr>_Toc358639904</vt:lpwstr>
      </vt:variant>
      <vt:variant>
        <vt:i4>1900593</vt:i4>
      </vt:variant>
      <vt:variant>
        <vt:i4>68</vt:i4>
      </vt:variant>
      <vt:variant>
        <vt:i4>0</vt:i4>
      </vt:variant>
      <vt:variant>
        <vt:i4>5</vt:i4>
      </vt:variant>
      <vt:variant>
        <vt:lpwstr/>
      </vt:variant>
      <vt:variant>
        <vt:lpwstr>_Toc358639903</vt:lpwstr>
      </vt:variant>
      <vt:variant>
        <vt:i4>1900593</vt:i4>
      </vt:variant>
      <vt:variant>
        <vt:i4>62</vt:i4>
      </vt:variant>
      <vt:variant>
        <vt:i4>0</vt:i4>
      </vt:variant>
      <vt:variant>
        <vt:i4>5</vt:i4>
      </vt:variant>
      <vt:variant>
        <vt:lpwstr/>
      </vt:variant>
      <vt:variant>
        <vt:lpwstr>_Toc358639902</vt:lpwstr>
      </vt:variant>
      <vt:variant>
        <vt:i4>1900593</vt:i4>
      </vt:variant>
      <vt:variant>
        <vt:i4>56</vt:i4>
      </vt:variant>
      <vt:variant>
        <vt:i4>0</vt:i4>
      </vt:variant>
      <vt:variant>
        <vt:i4>5</vt:i4>
      </vt:variant>
      <vt:variant>
        <vt:lpwstr/>
      </vt:variant>
      <vt:variant>
        <vt:lpwstr>_Toc358639901</vt:lpwstr>
      </vt:variant>
      <vt:variant>
        <vt:i4>1900593</vt:i4>
      </vt:variant>
      <vt:variant>
        <vt:i4>50</vt:i4>
      </vt:variant>
      <vt:variant>
        <vt:i4>0</vt:i4>
      </vt:variant>
      <vt:variant>
        <vt:i4>5</vt:i4>
      </vt:variant>
      <vt:variant>
        <vt:lpwstr/>
      </vt:variant>
      <vt:variant>
        <vt:lpwstr>_Toc358639900</vt:lpwstr>
      </vt:variant>
      <vt:variant>
        <vt:i4>1310768</vt:i4>
      </vt:variant>
      <vt:variant>
        <vt:i4>44</vt:i4>
      </vt:variant>
      <vt:variant>
        <vt:i4>0</vt:i4>
      </vt:variant>
      <vt:variant>
        <vt:i4>5</vt:i4>
      </vt:variant>
      <vt:variant>
        <vt:lpwstr/>
      </vt:variant>
      <vt:variant>
        <vt:lpwstr>_Toc358639899</vt:lpwstr>
      </vt:variant>
      <vt:variant>
        <vt:i4>1310768</vt:i4>
      </vt:variant>
      <vt:variant>
        <vt:i4>38</vt:i4>
      </vt:variant>
      <vt:variant>
        <vt:i4>0</vt:i4>
      </vt:variant>
      <vt:variant>
        <vt:i4>5</vt:i4>
      </vt:variant>
      <vt:variant>
        <vt:lpwstr/>
      </vt:variant>
      <vt:variant>
        <vt:lpwstr>_Toc358639898</vt:lpwstr>
      </vt:variant>
      <vt:variant>
        <vt:i4>1310768</vt:i4>
      </vt:variant>
      <vt:variant>
        <vt:i4>32</vt:i4>
      </vt:variant>
      <vt:variant>
        <vt:i4>0</vt:i4>
      </vt:variant>
      <vt:variant>
        <vt:i4>5</vt:i4>
      </vt:variant>
      <vt:variant>
        <vt:lpwstr/>
      </vt:variant>
      <vt:variant>
        <vt:lpwstr>_Toc358639897</vt:lpwstr>
      </vt:variant>
      <vt:variant>
        <vt:i4>1310768</vt:i4>
      </vt:variant>
      <vt:variant>
        <vt:i4>26</vt:i4>
      </vt:variant>
      <vt:variant>
        <vt:i4>0</vt:i4>
      </vt:variant>
      <vt:variant>
        <vt:i4>5</vt:i4>
      </vt:variant>
      <vt:variant>
        <vt:lpwstr/>
      </vt:variant>
      <vt:variant>
        <vt:lpwstr>_Toc358639896</vt:lpwstr>
      </vt:variant>
      <vt:variant>
        <vt:i4>1310768</vt:i4>
      </vt:variant>
      <vt:variant>
        <vt:i4>20</vt:i4>
      </vt:variant>
      <vt:variant>
        <vt:i4>0</vt:i4>
      </vt:variant>
      <vt:variant>
        <vt:i4>5</vt:i4>
      </vt:variant>
      <vt:variant>
        <vt:lpwstr/>
      </vt:variant>
      <vt:variant>
        <vt:lpwstr>_Toc358639895</vt:lpwstr>
      </vt:variant>
      <vt:variant>
        <vt:i4>1310768</vt:i4>
      </vt:variant>
      <vt:variant>
        <vt:i4>14</vt:i4>
      </vt:variant>
      <vt:variant>
        <vt:i4>0</vt:i4>
      </vt:variant>
      <vt:variant>
        <vt:i4>5</vt:i4>
      </vt:variant>
      <vt:variant>
        <vt:lpwstr/>
      </vt:variant>
      <vt:variant>
        <vt:lpwstr>_Toc358639894</vt:lpwstr>
      </vt:variant>
      <vt:variant>
        <vt:i4>1310768</vt:i4>
      </vt:variant>
      <vt:variant>
        <vt:i4>8</vt:i4>
      </vt:variant>
      <vt:variant>
        <vt:i4>0</vt:i4>
      </vt:variant>
      <vt:variant>
        <vt:i4>5</vt:i4>
      </vt:variant>
      <vt:variant>
        <vt:lpwstr/>
      </vt:variant>
      <vt:variant>
        <vt:lpwstr>_Toc358639893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Australian Survey Control</dc:title>
  <dc:subject/>
  <dc:creator>ICSM</dc:creator>
  <cp:keywords/>
  <dc:description/>
  <cp:lastModifiedBy>Anna</cp:lastModifiedBy>
  <cp:revision>20</cp:revision>
  <cp:lastPrinted>2014-10-20T02:10:00Z</cp:lastPrinted>
  <dcterms:created xsi:type="dcterms:W3CDTF">2014-03-07T01:02:00Z</dcterms:created>
  <dcterms:modified xsi:type="dcterms:W3CDTF">2014-10-20T21:51:00Z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SM">
    <vt:lpwstr>Intergovernmental Committee on Surveying and Mapping</vt:lpwstr>
  </property>
  <property fmtid="{D5CDD505-2E9C-101B-9397-08002B2CF9AE}" pid="3" name="Document Name">
    <vt:lpwstr>Standard for the Australian Survey Control Network – SP1</vt:lpwstr>
  </property>
  <property fmtid="{D5CDD505-2E9C-101B-9397-08002B2CF9AE}" pid="4" name="Version">
    <vt:lpwstr>Version 2.1</vt:lpwstr>
  </property>
  <property fmtid="{D5CDD505-2E9C-101B-9397-08002B2CF9AE}" pid="5" name="GTSC">
    <vt:lpwstr>Geodesy Technical Sub-Committee</vt:lpwstr>
  </property>
</Properties>
</file>